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2028A2">
      <w:pPr>
        <w:keepNext/>
        <w:keepLines/>
        <w:widowControl w:val="0"/>
        <w:kinsoku/>
        <w:autoSpaceDE/>
        <w:autoSpaceDN/>
        <w:adjustRightInd/>
        <w:snapToGrid/>
        <w:spacing w:before="240" w:beforeLines="100" w:after="240" w:afterLines="100" w:line="360" w:lineRule="auto"/>
        <w:jc w:val="center"/>
        <w:textAlignment w:val="auto"/>
        <w:outlineLvl w:val="0"/>
        <w:rPr>
          <w:rFonts w:ascii="Times New Roman" w:hAnsi="Times New Roman" w:eastAsia="黑体" w:cs="Times New Roman"/>
          <w:bCs/>
          <w:snapToGrid/>
          <w:kern w:val="44"/>
          <w:sz w:val="36"/>
          <w:szCs w:val="44"/>
          <w:lang w:eastAsia="zh-CN"/>
        </w:rPr>
      </w:pPr>
      <w:r>
        <w:rPr>
          <w:rFonts w:hint="eastAsia" w:ascii="Times New Roman" w:hAnsi="Times New Roman" w:eastAsia="黑体" w:cs="Times New Roman"/>
          <w:bCs/>
          <w:snapToGrid/>
          <w:kern w:val="44"/>
          <w:sz w:val="36"/>
          <w:szCs w:val="44"/>
          <w:lang w:eastAsia="zh-CN"/>
        </w:rPr>
        <w:t>控制工程硕士专业学位研究生培养方案</w:t>
      </w:r>
    </w:p>
    <w:p w14:paraId="6E11FBA6">
      <w:pPr>
        <w:keepNext/>
        <w:keepLines/>
        <w:widowControl w:val="0"/>
        <w:kinsoku/>
        <w:autoSpaceDE/>
        <w:autoSpaceDN/>
        <w:adjustRightInd/>
        <w:snapToGrid/>
        <w:spacing w:before="240" w:beforeLines="100" w:after="240" w:afterLines="100" w:line="360" w:lineRule="auto"/>
        <w:jc w:val="center"/>
        <w:textAlignment w:val="auto"/>
        <w:outlineLvl w:val="0"/>
        <w:rPr>
          <w:lang w:eastAsia="zh-CN"/>
        </w:rPr>
      </w:pPr>
      <w:r>
        <w:rPr>
          <w:rFonts w:hint="eastAsia" w:ascii="Times New Roman" w:hAnsi="Times New Roman" w:eastAsia="黑体" w:cs="Times New Roman"/>
          <w:bCs/>
          <w:snapToGrid/>
          <w:kern w:val="44"/>
          <w:sz w:val="36"/>
          <w:szCs w:val="44"/>
          <w:lang w:eastAsia="zh-CN"/>
        </w:rPr>
        <w:t>（085</w:t>
      </w:r>
      <w:r>
        <w:rPr>
          <w:rFonts w:ascii="Times New Roman" w:hAnsi="Times New Roman" w:eastAsia="黑体" w:cs="Times New Roman"/>
          <w:bCs/>
          <w:snapToGrid/>
          <w:kern w:val="44"/>
          <w:sz w:val="36"/>
          <w:szCs w:val="44"/>
          <w:lang w:eastAsia="zh-CN"/>
        </w:rPr>
        <w:t>406</w:t>
      </w:r>
      <w:r>
        <w:rPr>
          <w:rFonts w:hint="eastAsia" w:ascii="Times New Roman" w:hAnsi="Times New Roman" w:eastAsia="黑体" w:cs="Times New Roman"/>
          <w:bCs/>
          <w:snapToGrid/>
          <w:kern w:val="44"/>
          <w:sz w:val="36"/>
          <w:szCs w:val="44"/>
          <w:lang w:eastAsia="zh-CN"/>
        </w:rPr>
        <w:t>）</w:t>
      </w:r>
    </w:p>
    <w:p w14:paraId="538CE682">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一、学位点或领域方向简介</w:t>
      </w:r>
    </w:p>
    <w:p w14:paraId="1D4E10E3">
      <w:pPr>
        <w:spacing w:line="360" w:lineRule="auto"/>
        <w:ind w:firstLine="560" w:firstLineChars="200"/>
        <w:jc w:val="both"/>
        <w:rPr>
          <w:rFonts w:eastAsia="仿宋"/>
          <w:sz w:val="28"/>
          <w:szCs w:val="28"/>
          <w:lang w:eastAsia="zh-CN"/>
        </w:rPr>
      </w:pPr>
      <w:r>
        <w:rPr>
          <w:rFonts w:hint="eastAsia" w:eastAsia="仿宋"/>
          <w:sz w:val="28"/>
          <w:szCs w:val="28"/>
          <w:lang w:eastAsia="zh-CN"/>
        </w:rPr>
        <w:t>控制工程是研究控制系统的行为、受控后的运动状态以及达到预期动静态性能的一门综合性工程学科。在理论方面，利用各种数学工具描述系统的动静态特性，以建模、预测、优化、决策及控制为主要研究内容。在应用方面，将理论研究成果与计算机技术、网络技术和现代检测技术相结合，形成各种新型控制器或控制系统。</w:t>
      </w:r>
    </w:p>
    <w:p w14:paraId="27559186">
      <w:pPr>
        <w:spacing w:line="360" w:lineRule="auto"/>
        <w:ind w:firstLine="560" w:firstLineChars="200"/>
        <w:jc w:val="both"/>
        <w:rPr>
          <w:rFonts w:eastAsia="仿宋"/>
          <w:sz w:val="28"/>
          <w:szCs w:val="28"/>
          <w:lang w:eastAsia="zh-CN"/>
        </w:rPr>
      </w:pPr>
      <w:r>
        <w:rPr>
          <w:rFonts w:eastAsia="仿宋"/>
          <w:sz w:val="28"/>
          <w:szCs w:val="28"/>
          <w:lang w:eastAsia="zh-CN"/>
        </w:rPr>
        <w:t>本学位点隶属于电子信息专业学位型硕士，主要依托苏州大学智能控制系统研究所、江苏省具身智能机器人技术重点实验室进行办学</w:t>
      </w:r>
      <w:r>
        <w:rPr>
          <w:rFonts w:hint="eastAsia" w:eastAsia="仿宋"/>
          <w:sz w:val="28"/>
          <w:szCs w:val="28"/>
          <w:lang w:eastAsia="zh-CN"/>
        </w:rPr>
        <w:t>。目前拥有省级实验教学示范中心</w:t>
      </w:r>
      <w:r>
        <w:rPr>
          <w:rFonts w:eastAsia="仿宋"/>
          <w:sz w:val="28"/>
          <w:szCs w:val="28"/>
          <w:lang w:eastAsia="zh-CN"/>
        </w:rPr>
        <w:t>1</w:t>
      </w:r>
      <w:r>
        <w:rPr>
          <w:rFonts w:hint="eastAsia" w:eastAsia="仿宋"/>
          <w:sz w:val="28"/>
          <w:szCs w:val="28"/>
          <w:lang w:eastAsia="zh-CN"/>
        </w:rPr>
        <w:t>个，江苏省重点实验室1个。</w:t>
      </w:r>
      <w:r>
        <w:rPr>
          <w:rFonts w:eastAsia="仿宋"/>
          <w:sz w:val="28"/>
          <w:szCs w:val="28"/>
          <w:lang w:eastAsia="zh-CN"/>
        </w:rPr>
        <w:t>本学位点现有专任教师39人（正高11人、副高19人、中级9人）。专任教师队伍知识结构、年龄结构、学历结构合理。硕士生导师33名，占比84.6%；学缘结构合理，在外单位获得学位35名，占比89.7%，其中22名教师具有一年以上海外经历。</w:t>
      </w:r>
    </w:p>
    <w:p w14:paraId="3C8BFCFC">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二、培养定位及目标</w:t>
      </w:r>
    </w:p>
    <w:p w14:paraId="7CFE9D99">
      <w:pPr>
        <w:pStyle w:val="2"/>
        <w:spacing w:line="360" w:lineRule="auto"/>
        <w:ind w:left="29" w:right="16"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控制工程硕士专业学位研究生（以下简称控制专硕）培养应面向国家、行业产业和区域发展战略需求，坚持以习近平新时代中国特色社会主义思想为指导，落实立德树人根本任务，突出工程性、实践性和应用性，培养爱党报国，敬业奉献，基础理论功底扎实，专业技术水平突出，具备较强工程实践能力，善于解决实际工程技术问题的高层次工程技术和工程管理人才。</w:t>
      </w:r>
    </w:p>
    <w:p w14:paraId="4CA20955">
      <w:pPr>
        <w:pStyle w:val="2"/>
        <w:spacing w:line="360" w:lineRule="auto"/>
        <w:ind w:left="29" w:right="16"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具体要求为：</w:t>
      </w:r>
    </w:p>
    <w:p w14:paraId="4DD5A2E0">
      <w:pPr>
        <w:pStyle w:val="2"/>
        <w:spacing w:line="360" w:lineRule="auto"/>
        <w:ind w:left="31" w:right="13"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1．拥护中国共产党的领导，热爱祖国，遵纪守法，具有服务国家和人民的高度社会责任感、良好的职业道德和创新创业精神、科学严谨和求真务实的学习态度和工作作风，身心健康。</w:t>
      </w:r>
    </w:p>
    <w:p w14:paraId="22BFF48B">
      <w:pPr>
        <w:pStyle w:val="2"/>
        <w:spacing w:line="360" w:lineRule="auto"/>
        <w:ind w:left="26" w:right="14"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2．掌握专业领域坚实的基础理论和系统的专门知识，具有承担专业实践工作的能力，熟悉行业领域的相关技术和规范，在行业领域的某一方向具有独立担负产品研发、工程设计、工程研究、工程开发、工程实施、工程管理等专门技术工作的能力，具有良好的职业素养。</w:t>
      </w:r>
    </w:p>
    <w:p w14:paraId="5B7FB55B">
      <w:pPr>
        <w:pStyle w:val="2"/>
        <w:spacing w:line="360" w:lineRule="auto"/>
        <w:ind w:left="26" w:right="14" w:firstLine="560" w:firstLineChars="200"/>
        <w:jc w:val="both"/>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3．掌握一门外国语。</w:t>
      </w:r>
    </w:p>
    <w:p w14:paraId="2D0909F4">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三、培养方向</w:t>
      </w:r>
    </w:p>
    <w:p w14:paraId="3A19DD4C">
      <w:pPr>
        <w:spacing w:line="360" w:lineRule="auto"/>
        <w:ind w:firstLine="560" w:firstLineChars="200"/>
        <w:jc w:val="both"/>
        <w:rPr>
          <w:rFonts w:eastAsia="仿宋"/>
          <w:sz w:val="28"/>
          <w:szCs w:val="28"/>
          <w:lang w:eastAsia="zh-CN"/>
        </w:rPr>
      </w:pPr>
      <w:r>
        <w:rPr>
          <w:rFonts w:hint="eastAsia" w:eastAsia="仿宋"/>
          <w:sz w:val="28"/>
          <w:szCs w:val="28"/>
          <w:lang w:eastAsia="zh-CN"/>
        </w:rPr>
        <w:t>本学位点的主要培养方向包括：智能机器人的控制技术、电气与新能源系统的控制技术、智能制造过程的控制技术等。本学位点主要特色是依托苏州制造业的领先优势，与汇川技术、科大讯飞等行业领军企业开展基于新一代人工智能的先进控制技术和智能控制系统的研究和产业化。</w:t>
      </w:r>
    </w:p>
    <w:p w14:paraId="43550944">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四、学习方式及修业年限</w:t>
      </w:r>
    </w:p>
    <w:p w14:paraId="29EBFEF4">
      <w:pPr>
        <w:pStyle w:val="2"/>
        <w:spacing w:before="139" w:line="253" w:lineRule="auto"/>
        <w:ind w:left="31" w:right="13" w:firstLine="660"/>
        <w:rPr>
          <w:rFonts w:ascii="Times New Roman" w:hAnsi="Times New Roman" w:eastAsia="仿宋" w:cs="Times New Roman"/>
          <w:snapToGrid/>
          <w:kern w:val="2"/>
          <w:sz w:val="28"/>
          <w:szCs w:val="28"/>
          <w:lang w:eastAsia="zh-CN"/>
        </w:rPr>
      </w:pPr>
      <w:r>
        <w:rPr>
          <w:rFonts w:hint="eastAsia" w:ascii="Times New Roman" w:hAnsi="Times New Roman" w:eastAsia="仿宋" w:cs="Times New Roman"/>
          <w:snapToGrid/>
          <w:kern w:val="2"/>
          <w:sz w:val="28"/>
          <w:szCs w:val="28"/>
          <w:lang w:eastAsia="zh-CN"/>
        </w:rPr>
        <w:t>全日制硕士学习方式的基本修业年限为3年。</w:t>
      </w:r>
    </w:p>
    <w:p w14:paraId="0D9CF0CF">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五、培养方式及导师指导</w:t>
      </w:r>
    </w:p>
    <w:p w14:paraId="2FFCE2CD">
      <w:pPr>
        <w:pStyle w:val="2"/>
        <w:spacing w:line="360" w:lineRule="auto"/>
        <w:ind w:left="23" w:right="14" w:firstLine="576" w:firstLineChars="200"/>
        <w:jc w:val="both"/>
        <w:rPr>
          <w:rFonts w:ascii="仿宋" w:hAnsi="仿宋" w:eastAsia="仿宋" w:cs="仿宋"/>
          <w:sz w:val="28"/>
          <w:szCs w:val="28"/>
          <w:lang w:eastAsia="zh-CN"/>
        </w:rPr>
      </w:pPr>
      <w:r>
        <w:rPr>
          <w:rFonts w:hint="eastAsia" w:ascii="仿宋" w:hAnsi="仿宋" w:eastAsia="仿宋" w:cs="仿宋"/>
          <w:spacing w:val="4"/>
          <w:sz w:val="28"/>
          <w:szCs w:val="28"/>
          <w:lang w:eastAsia="zh-CN"/>
        </w:rPr>
        <w:t>采用课程学习</w:t>
      </w:r>
      <w:r>
        <w:rPr>
          <w:rFonts w:hint="eastAsia" w:ascii="仿宋" w:hAnsi="仿宋" w:eastAsia="仿宋" w:cs="仿宋"/>
          <w:spacing w:val="-44"/>
          <w:sz w:val="28"/>
          <w:szCs w:val="28"/>
          <w:lang w:eastAsia="zh-CN"/>
        </w:rPr>
        <w:t>、</w:t>
      </w:r>
      <w:r>
        <w:rPr>
          <w:rFonts w:hint="eastAsia" w:ascii="仿宋" w:hAnsi="仿宋" w:eastAsia="仿宋" w:cs="仿宋"/>
          <w:spacing w:val="4"/>
          <w:sz w:val="28"/>
          <w:szCs w:val="28"/>
          <w:lang w:eastAsia="zh-CN"/>
        </w:rPr>
        <w:t>专业实践、学位论文或申请学位实践成</w:t>
      </w:r>
      <w:r>
        <w:rPr>
          <w:rFonts w:hint="eastAsia" w:ascii="仿宋" w:hAnsi="仿宋" w:eastAsia="仿宋" w:cs="仿宋"/>
          <w:spacing w:val="7"/>
          <w:sz w:val="28"/>
          <w:szCs w:val="28"/>
          <w:lang w:eastAsia="zh-CN"/>
        </w:rPr>
        <w:t>果工作相结合的培养方式，依托相关专业领域重要工程技术</w:t>
      </w:r>
      <w:r>
        <w:rPr>
          <w:rFonts w:hint="eastAsia" w:ascii="仿宋" w:hAnsi="仿宋" w:eastAsia="仿宋" w:cs="仿宋"/>
          <w:spacing w:val="5"/>
          <w:sz w:val="28"/>
          <w:szCs w:val="28"/>
          <w:lang w:eastAsia="zh-CN"/>
        </w:rPr>
        <w:t>项目，开展校企联合培养。</w:t>
      </w:r>
    </w:p>
    <w:p w14:paraId="7BB65BBF">
      <w:pPr>
        <w:pStyle w:val="2"/>
        <w:spacing w:line="360" w:lineRule="auto"/>
        <w:ind w:left="26" w:right="16" w:firstLine="596" w:firstLineChars="200"/>
        <w:jc w:val="both"/>
        <w:rPr>
          <w:rFonts w:ascii="仿宋" w:hAnsi="仿宋" w:eastAsia="仿宋" w:cs="仿宋"/>
          <w:sz w:val="28"/>
          <w:szCs w:val="28"/>
          <w:lang w:eastAsia="zh-CN"/>
        </w:rPr>
      </w:pPr>
      <w:r>
        <w:rPr>
          <w:rFonts w:hint="eastAsia" w:ascii="仿宋" w:hAnsi="仿宋" w:eastAsia="仿宋" w:cs="仿宋"/>
          <w:spacing w:val="9"/>
          <w:sz w:val="28"/>
          <w:szCs w:val="28"/>
          <w:lang w:eastAsia="zh-CN"/>
        </w:rPr>
        <w:t>1.课程学习是硕士研究生掌握基础理论和专业知识</w:t>
      </w:r>
      <w:r>
        <w:rPr>
          <w:rFonts w:hint="eastAsia" w:ascii="仿宋" w:hAnsi="仿宋" w:eastAsia="仿宋" w:cs="仿宋"/>
          <w:spacing w:val="-40"/>
          <w:sz w:val="28"/>
          <w:szCs w:val="28"/>
          <w:lang w:eastAsia="zh-CN"/>
        </w:rPr>
        <w:t>，</w:t>
      </w:r>
      <w:r>
        <w:rPr>
          <w:rFonts w:hint="eastAsia" w:ascii="仿宋" w:hAnsi="仿宋" w:eastAsia="仿宋" w:cs="仿宋"/>
          <w:spacing w:val="6"/>
          <w:sz w:val="28"/>
          <w:szCs w:val="28"/>
          <w:lang w:eastAsia="zh-CN"/>
        </w:rPr>
        <w:t>构建知识结构的主要途径。课程学习一般在培养单位完成，</w:t>
      </w:r>
      <w:r>
        <w:rPr>
          <w:rFonts w:hint="eastAsia" w:ascii="仿宋" w:hAnsi="仿宋" w:eastAsia="仿宋" w:cs="仿宋"/>
          <w:spacing w:val="5"/>
          <w:sz w:val="28"/>
          <w:szCs w:val="28"/>
          <w:lang w:eastAsia="zh-CN"/>
        </w:rPr>
        <w:t>积极鼓励高水平企业专家参与前沿技术课、校企联合课</w:t>
      </w:r>
      <w:r>
        <w:rPr>
          <w:rFonts w:hint="eastAsia" w:ascii="仿宋" w:hAnsi="仿宋" w:eastAsia="仿宋" w:cs="仿宋"/>
          <w:spacing w:val="-51"/>
          <w:sz w:val="28"/>
          <w:szCs w:val="28"/>
          <w:lang w:eastAsia="zh-CN"/>
        </w:rPr>
        <w:t>、</w:t>
      </w:r>
      <w:r>
        <w:rPr>
          <w:rFonts w:hint="eastAsia" w:ascii="仿宋" w:hAnsi="仿宋" w:eastAsia="仿宋" w:cs="仿宋"/>
          <w:spacing w:val="5"/>
          <w:sz w:val="28"/>
          <w:szCs w:val="28"/>
          <w:lang w:eastAsia="zh-CN"/>
        </w:rPr>
        <w:t>工</w:t>
      </w:r>
      <w:r>
        <w:rPr>
          <w:rFonts w:hint="eastAsia" w:ascii="仿宋" w:hAnsi="仿宋" w:eastAsia="仿宋" w:cs="仿宋"/>
          <w:spacing w:val="8"/>
          <w:sz w:val="28"/>
          <w:szCs w:val="28"/>
          <w:lang w:eastAsia="zh-CN"/>
        </w:rPr>
        <w:t>程案例课的课程建设与教学。</w:t>
      </w:r>
    </w:p>
    <w:p w14:paraId="5BC72DFF">
      <w:pPr>
        <w:pStyle w:val="2"/>
        <w:spacing w:line="360" w:lineRule="auto"/>
        <w:ind w:left="30" w:right="14" w:firstLine="604" w:firstLineChars="200"/>
        <w:jc w:val="both"/>
        <w:rPr>
          <w:rFonts w:ascii="仿宋" w:hAnsi="仿宋" w:eastAsia="仿宋" w:cs="仿宋"/>
          <w:sz w:val="28"/>
          <w:szCs w:val="28"/>
          <w:lang w:eastAsia="zh-CN"/>
        </w:rPr>
      </w:pPr>
      <w:r>
        <w:rPr>
          <w:rFonts w:hint="eastAsia" w:ascii="仿宋" w:hAnsi="仿宋" w:eastAsia="仿宋" w:cs="仿宋"/>
          <w:spacing w:val="11"/>
          <w:sz w:val="28"/>
          <w:szCs w:val="28"/>
          <w:lang w:eastAsia="zh-CN"/>
        </w:rPr>
        <w:t>2.专业实践是硕士研究生培养的必修环节，是研究生</w:t>
      </w:r>
      <w:r>
        <w:rPr>
          <w:rFonts w:hint="eastAsia" w:ascii="仿宋" w:hAnsi="仿宋" w:eastAsia="仿宋" w:cs="仿宋"/>
          <w:spacing w:val="21"/>
          <w:sz w:val="28"/>
          <w:szCs w:val="28"/>
          <w:lang w:eastAsia="zh-CN"/>
        </w:rPr>
        <w:t>结合工程实际开展学位论文工作或实施实践成果的重要阶</w:t>
      </w:r>
      <w:r>
        <w:rPr>
          <w:rFonts w:hint="eastAsia" w:ascii="仿宋" w:hAnsi="仿宋" w:eastAsia="仿宋" w:cs="仿宋"/>
          <w:spacing w:val="6"/>
          <w:sz w:val="28"/>
          <w:szCs w:val="28"/>
          <w:lang w:eastAsia="zh-CN"/>
        </w:rPr>
        <w:t>段，可采用集中和分段实践相结合的方式，可结合工程</w:t>
      </w:r>
      <w:r>
        <w:rPr>
          <w:rFonts w:hint="eastAsia" w:ascii="仿宋" w:hAnsi="仿宋" w:eastAsia="仿宋" w:cs="仿宋"/>
          <w:spacing w:val="5"/>
          <w:sz w:val="28"/>
          <w:szCs w:val="28"/>
          <w:lang w:eastAsia="zh-CN"/>
        </w:rPr>
        <w:t>技术</w:t>
      </w:r>
      <w:r>
        <w:rPr>
          <w:rFonts w:hint="eastAsia" w:ascii="仿宋" w:hAnsi="仿宋" w:eastAsia="仿宋" w:cs="仿宋"/>
          <w:spacing w:val="6"/>
          <w:sz w:val="28"/>
          <w:szCs w:val="28"/>
          <w:lang w:eastAsia="zh-CN"/>
        </w:rPr>
        <w:t>项目开展，也可与学位论文或实践成果工作同步开展</w:t>
      </w:r>
      <w:r>
        <w:rPr>
          <w:rFonts w:hint="eastAsia" w:ascii="仿宋" w:hAnsi="仿宋" w:eastAsia="仿宋" w:cs="仿宋"/>
          <w:spacing w:val="-54"/>
          <w:sz w:val="28"/>
          <w:szCs w:val="28"/>
          <w:lang w:eastAsia="zh-CN"/>
        </w:rPr>
        <w:t xml:space="preserve"> </w:t>
      </w:r>
      <w:r>
        <w:rPr>
          <w:rFonts w:hint="eastAsia" w:ascii="仿宋" w:hAnsi="仿宋" w:eastAsia="仿宋" w:cs="仿宋"/>
          <w:spacing w:val="6"/>
          <w:sz w:val="28"/>
          <w:szCs w:val="28"/>
          <w:lang w:eastAsia="zh-CN"/>
        </w:rPr>
        <w:t>。全日</w:t>
      </w:r>
      <w:r>
        <w:rPr>
          <w:rFonts w:hint="eastAsia" w:ascii="仿宋" w:hAnsi="仿宋" w:eastAsia="仿宋" w:cs="仿宋"/>
          <w:spacing w:val="7"/>
          <w:sz w:val="28"/>
          <w:szCs w:val="28"/>
          <w:lang w:eastAsia="zh-CN"/>
        </w:rPr>
        <w:t>制硕士研究生专业实践时间一般应不少于6个月。</w:t>
      </w:r>
    </w:p>
    <w:p w14:paraId="7057A7AB">
      <w:pPr>
        <w:pStyle w:val="2"/>
        <w:spacing w:line="360" w:lineRule="auto"/>
        <w:ind w:left="30" w:right="14" w:firstLine="604" w:firstLineChars="200"/>
        <w:jc w:val="both"/>
        <w:rPr>
          <w:rFonts w:ascii="仿宋" w:hAnsi="仿宋" w:eastAsia="仿宋" w:cs="仿宋"/>
          <w:spacing w:val="15"/>
          <w:sz w:val="28"/>
          <w:szCs w:val="28"/>
          <w:lang w:eastAsia="zh-CN"/>
        </w:rPr>
      </w:pPr>
      <w:r>
        <w:rPr>
          <w:rFonts w:hint="eastAsia" w:ascii="仿宋" w:hAnsi="仿宋" w:eastAsia="仿宋" w:cs="仿宋"/>
          <w:spacing w:val="11"/>
          <w:sz w:val="28"/>
          <w:szCs w:val="28"/>
          <w:lang w:eastAsia="zh-CN"/>
        </w:rPr>
        <w:t>3.学位论文或申请学位实践成果是申请学位的主要依</w:t>
      </w:r>
      <w:r>
        <w:rPr>
          <w:rFonts w:hint="eastAsia" w:ascii="仿宋" w:hAnsi="仿宋" w:eastAsia="仿宋" w:cs="仿宋"/>
          <w:spacing w:val="6"/>
          <w:sz w:val="28"/>
          <w:szCs w:val="28"/>
          <w:lang w:eastAsia="zh-CN"/>
        </w:rPr>
        <w:t>据</w:t>
      </w:r>
      <w:r>
        <w:rPr>
          <w:rFonts w:hint="eastAsia" w:ascii="仿宋" w:hAnsi="仿宋" w:eastAsia="仿宋" w:cs="仿宋"/>
          <w:spacing w:val="-47"/>
          <w:sz w:val="28"/>
          <w:szCs w:val="28"/>
          <w:lang w:eastAsia="zh-CN"/>
        </w:rPr>
        <w:t>，</w:t>
      </w:r>
      <w:r>
        <w:rPr>
          <w:rFonts w:hint="eastAsia" w:ascii="仿宋" w:hAnsi="仿宋" w:eastAsia="仿宋" w:cs="仿宋"/>
          <w:spacing w:val="6"/>
          <w:sz w:val="28"/>
          <w:szCs w:val="28"/>
          <w:lang w:eastAsia="zh-CN"/>
        </w:rPr>
        <w:t>是硕士研究生综合运用所学基础理论和专业</w:t>
      </w:r>
      <w:r>
        <w:rPr>
          <w:rFonts w:hint="eastAsia" w:ascii="仿宋" w:hAnsi="仿宋" w:eastAsia="仿宋" w:cs="仿宋"/>
          <w:spacing w:val="5"/>
          <w:sz w:val="28"/>
          <w:szCs w:val="28"/>
          <w:lang w:eastAsia="zh-CN"/>
        </w:rPr>
        <w:t>知识，开展</w:t>
      </w:r>
      <w:r>
        <w:rPr>
          <w:rFonts w:hint="eastAsia" w:ascii="仿宋" w:hAnsi="仿宋" w:eastAsia="仿宋" w:cs="仿宋"/>
          <w:spacing w:val="7"/>
          <w:sz w:val="28"/>
          <w:szCs w:val="28"/>
          <w:lang w:eastAsia="zh-CN"/>
        </w:rPr>
        <w:t>工程实际问题研究的成果体现。学位论文选题应直接来源于</w:t>
      </w:r>
      <w:r>
        <w:rPr>
          <w:rFonts w:hint="eastAsia" w:ascii="仿宋" w:hAnsi="仿宋" w:eastAsia="仿宋" w:cs="仿宋"/>
          <w:spacing w:val="3"/>
          <w:sz w:val="28"/>
          <w:szCs w:val="28"/>
          <w:lang w:eastAsia="zh-CN"/>
        </w:rPr>
        <w:t>工程实际，以应用研究型专题论文呈现。申请学位实践成果</w:t>
      </w:r>
      <w:r>
        <w:rPr>
          <w:rFonts w:hint="eastAsia" w:ascii="仿宋" w:hAnsi="仿宋" w:eastAsia="仿宋" w:cs="仿宋"/>
          <w:spacing w:val="7"/>
          <w:sz w:val="28"/>
          <w:szCs w:val="28"/>
          <w:lang w:eastAsia="zh-CN"/>
        </w:rPr>
        <w:t>应结合实际工程技术项目，主要以实体或工程形象展示形式</w:t>
      </w:r>
      <w:r>
        <w:rPr>
          <w:rFonts w:hint="eastAsia" w:ascii="仿宋" w:hAnsi="仿宋" w:eastAsia="仿宋" w:cs="仿宋"/>
          <w:spacing w:val="6"/>
          <w:sz w:val="28"/>
          <w:szCs w:val="28"/>
          <w:lang w:eastAsia="zh-CN"/>
        </w:rPr>
        <w:t>呈现</w:t>
      </w:r>
      <w:r>
        <w:rPr>
          <w:rFonts w:hint="eastAsia" w:ascii="仿宋" w:hAnsi="仿宋" w:eastAsia="仿宋" w:cs="仿宋"/>
          <w:spacing w:val="-53"/>
          <w:sz w:val="28"/>
          <w:szCs w:val="28"/>
          <w:lang w:eastAsia="zh-CN"/>
        </w:rPr>
        <w:t xml:space="preserve"> </w:t>
      </w:r>
      <w:r>
        <w:rPr>
          <w:rFonts w:hint="eastAsia" w:ascii="仿宋" w:hAnsi="仿宋" w:eastAsia="仿宋" w:cs="仿宋"/>
          <w:spacing w:val="6"/>
          <w:sz w:val="28"/>
          <w:szCs w:val="28"/>
          <w:lang w:eastAsia="zh-CN"/>
        </w:rPr>
        <w:t>。学位论文或申请学位实践成果工作时间一般应不少于</w:t>
      </w:r>
      <w:r>
        <w:rPr>
          <w:rFonts w:hint="eastAsia" w:ascii="仿宋" w:hAnsi="仿宋" w:eastAsia="仿宋" w:cs="仿宋"/>
          <w:spacing w:val="15"/>
          <w:sz w:val="28"/>
          <w:szCs w:val="28"/>
          <w:lang w:eastAsia="zh-CN"/>
        </w:rPr>
        <w:t>1年。</w:t>
      </w:r>
    </w:p>
    <w:p w14:paraId="59F04768">
      <w:pPr>
        <w:pStyle w:val="2"/>
        <w:spacing w:line="360" w:lineRule="auto"/>
        <w:ind w:left="29" w:right="256" w:firstLine="580" w:firstLineChars="200"/>
        <w:jc w:val="both"/>
        <w:rPr>
          <w:rFonts w:ascii="仿宋" w:hAnsi="仿宋" w:eastAsia="仿宋" w:cs="仿宋"/>
          <w:spacing w:val="5"/>
          <w:sz w:val="28"/>
          <w:szCs w:val="28"/>
          <w:lang w:eastAsia="zh-CN"/>
        </w:rPr>
      </w:pPr>
      <w:r>
        <w:rPr>
          <w:rFonts w:hint="eastAsia" w:ascii="仿宋" w:hAnsi="仿宋" w:eastAsia="仿宋" w:cs="仿宋"/>
          <w:spacing w:val="5"/>
          <w:sz w:val="28"/>
          <w:szCs w:val="28"/>
          <w:lang w:eastAsia="zh-CN"/>
        </w:rPr>
        <w:t>4.硕士研究生培养由培养单位与企业</w:t>
      </w:r>
      <w:r>
        <w:rPr>
          <w:rFonts w:hint="eastAsia" w:ascii="仿宋" w:hAnsi="仿宋" w:eastAsia="仿宋" w:cs="仿宋"/>
          <w:spacing w:val="-46"/>
          <w:sz w:val="28"/>
          <w:szCs w:val="28"/>
          <w:lang w:eastAsia="zh-CN"/>
        </w:rPr>
        <w:t>、</w:t>
      </w:r>
      <w:r>
        <w:rPr>
          <w:rFonts w:hint="eastAsia" w:ascii="仿宋" w:hAnsi="仿宋" w:eastAsia="仿宋" w:cs="仿宋"/>
          <w:spacing w:val="5"/>
          <w:sz w:val="28"/>
          <w:szCs w:val="28"/>
          <w:lang w:eastAsia="zh-CN"/>
        </w:rPr>
        <w:t>科研院所（以</w:t>
      </w:r>
      <w:r>
        <w:rPr>
          <w:rFonts w:hint="eastAsia" w:ascii="仿宋" w:hAnsi="仿宋" w:eastAsia="仿宋" w:cs="仿宋"/>
          <w:spacing w:val="6"/>
          <w:sz w:val="28"/>
          <w:szCs w:val="28"/>
          <w:lang w:eastAsia="zh-CN"/>
        </w:rPr>
        <w:t>下简称企业）共同承担，培养单位应调动企业的积极性，吸</w:t>
      </w:r>
      <w:r>
        <w:rPr>
          <w:rFonts w:hint="eastAsia" w:ascii="仿宋" w:hAnsi="仿宋" w:eastAsia="仿宋" w:cs="仿宋"/>
          <w:spacing w:val="8"/>
          <w:sz w:val="28"/>
          <w:szCs w:val="28"/>
          <w:lang w:eastAsia="zh-CN"/>
        </w:rPr>
        <w:t>收企业优质教育资源参与研究生教育体系，充分发挥企</w:t>
      </w:r>
      <w:r>
        <w:rPr>
          <w:rFonts w:hint="eastAsia" w:ascii="仿宋" w:hAnsi="仿宋" w:eastAsia="仿宋" w:cs="仿宋"/>
          <w:spacing w:val="7"/>
          <w:sz w:val="28"/>
          <w:szCs w:val="28"/>
          <w:lang w:eastAsia="zh-CN"/>
        </w:rPr>
        <w:t>业在</w:t>
      </w:r>
      <w:r>
        <w:rPr>
          <w:rFonts w:hint="eastAsia" w:ascii="仿宋" w:hAnsi="仿宋" w:eastAsia="仿宋" w:cs="仿宋"/>
          <w:spacing w:val="5"/>
          <w:sz w:val="28"/>
          <w:szCs w:val="28"/>
          <w:lang w:eastAsia="zh-CN"/>
        </w:rPr>
        <w:t>人才培养中的重要作用，依托工程技术项目开展联合培养。</w:t>
      </w:r>
    </w:p>
    <w:p w14:paraId="618377D8">
      <w:pPr>
        <w:pStyle w:val="2"/>
        <w:spacing w:line="360" w:lineRule="auto"/>
        <w:ind w:left="29" w:right="256" w:firstLine="596" w:firstLineChars="200"/>
        <w:jc w:val="both"/>
        <w:rPr>
          <w:lang w:eastAsia="zh-CN"/>
        </w:rPr>
      </w:pPr>
      <w:r>
        <w:rPr>
          <w:rFonts w:hint="eastAsia" w:ascii="仿宋" w:hAnsi="仿宋" w:eastAsia="仿宋" w:cs="仿宋"/>
          <w:spacing w:val="9"/>
          <w:sz w:val="28"/>
          <w:szCs w:val="28"/>
          <w:lang w:eastAsia="zh-CN"/>
        </w:rPr>
        <w:t>5.硕士研究生培养采用校企导师组指导制度。导</w:t>
      </w:r>
      <w:r>
        <w:rPr>
          <w:rFonts w:hint="eastAsia" w:ascii="仿宋" w:hAnsi="仿宋" w:eastAsia="仿宋" w:cs="仿宋"/>
          <w:spacing w:val="8"/>
          <w:sz w:val="28"/>
          <w:szCs w:val="28"/>
          <w:lang w:eastAsia="zh-CN"/>
        </w:rPr>
        <w:t>师组</w:t>
      </w:r>
      <w:r>
        <w:rPr>
          <w:rFonts w:hint="eastAsia" w:ascii="仿宋" w:hAnsi="仿宋" w:eastAsia="仿宋" w:cs="仿宋"/>
          <w:spacing w:val="22"/>
          <w:sz w:val="28"/>
          <w:szCs w:val="28"/>
          <w:lang w:eastAsia="zh-CN"/>
        </w:rPr>
        <w:t>应有来自培养单位具有较高学术水平和丰富指导经验</w:t>
      </w:r>
      <w:r>
        <w:rPr>
          <w:rFonts w:hint="eastAsia" w:ascii="仿宋" w:hAnsi="仿宋" w:eastAsia="仿宋" w:cs="仿宋"/>
          <w:spacing w:val="21"/>
          <w:sz w:val="28"/>
          <w:szCs w:val="28"/>
          <w:lang w:eastAsia="zh-CN"/>
        </w:rPr>
        <w:t>的教</w:t>
      </w:r>
      <w:r>
        <w:rPr>
          <w:rFonts w:hint="eastAsia" w:ascii="仿宋" w:hAnsi="仿宋" w:eastAsia="仿宋" w:cs="仿宋"/>
          <w:spacing w:val="5"/>
          <w:sz w:val="28"/>
          <w:szCs w:val="28"/>
          <w:lang w:eastAsia="zh-CN"/>
        </w:rPr>
        <w:t>师，以及来自企业具有丰富工程实践经验的专家。导师组共同负责研究生思想品德、学风和职业素养等方面教育，制定研究生培养计划，确定研究生的专业实践任务和工作计划，定期进行学术和工程指导</w:t>
      </w:r>
      <w:r>
        <w:rPr>
          <w:rFonts w:hint="eastAsia" w:ascii="仿宋" w:hAnsi="仿宋" w:eastAsia="仿宋" w:cs="仿宋"/>
          <w:spacing w:val="-45"/>
          <w:sz w:val="28"/>
          <w:szCs w:val="28"/>
          <w:lang w:eastAsia="zh-CN"/>
        </w:rPr>
        <w:t>，</w:t>
      </w:r>
      <w:r>
        <w:rPr>
          <w:rFonts w:hint="eastAsia" w:ascii="仿宋" w:hAnsi="仿宋" w:eastAsia="仿宋" w:cs="仿宋"/>
          <w:spacing w:val="5"/>
          <w:sz w:val="28"/>
          <w:szCs w:val="28"/>
          <w:lang w:eastAsia="zh-CN"/>
        </w:rPr>
        <w:t>做好培养过程各阶</w:t>
      </w:r>
      <w:r>
        <w:rPr>
          <w:rFonts w:hint="eastAsia" w:ascii="仿宋" w:hAnsi="仿宋" w:eastAsia="仿宋" w:cs="仿宋"/>
          <w:spacing w:val="4"/>
          <w:sz w:val="28"/>
          <w:szCs w:val="28"/>
          <w:lang w:eastAsia="zh-CN"/>
        </w:rPr>
        <w:t>段的考核评估、</w:t>
      </w:r>
      <w:r>
        <w:rPr>
          <w:rFonts w:hint="eastAsia" w:ascii="仿宋" w:hAnsi="仿宋" w:eastAsia="仿宋" w:cs="仿宋"/>
          <w:spacing w:val="5"/>
          <w:sz w:val="28"/>
          <w:szCs w:val="28"/>
          <w:lang w:eastAsia="zh-CN"/>
        </w:rPr>
        <w:t>学位成果认定、学位论文或申请学位实践成果指导等工作。</w:t>
      </w:r>
    </w:p>
    <w:p w14:paraId="7596AA7F">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六、课程设置与学分要求</w:t>
      </w:r>
    </w:p>
    <w:p w14:paraId="53298AB5">
      <w:pPr>
        <w:widowControl w:val="0"/>
        <w:kinsoku/>
        <w:autoSpaceDE/>
        <w:autoSpaceDN/>
        <w:spacing w:line="360" w:lineRule="auto"/>
        <w:jc w:val="both"/>
        <w:textAlignment w:val="auto"/>
        <w:rPr>
          <w:rFonts w:ascii="Times New Roman" w:hAnsi="Times New Roman" w:eastAsia="仿宋" w:cs="Times New Roman"/>
          <w:b/>
          <w:bCs/>
          <w:snapToGrid/>
          <w:kern w:val="2"/>
          <w:sz w:val="28"/>
          <w:szCs w:val="28"/>
          <w:lang w:eastAsia="zh-CN"/>
        </w:rPr>
      </w:pPr>
      <w:r>
        <w:rPr>
          <w:rFonts w:hint="eastAsia" w:ascii="仿宋" w:hAnsi="仿宋" w:eastAsia="仿宋" w:cs="仿宋"/>
          <w:b/>
          <w:bCs/>
          <w:snapToGrid/>
          <w:kern w:val="2"/>
          <w:sz w:val="28"/>
          <w:szCs w:val="28"/>
          <w:lang w:eastAsia="zh-CN"/>
        </w:rPr>
        <w:t>1.学分要求</w:t>
      </w:r>
    </w:p>
    <w:p w14:paraId="0FC18402">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总学分不少于35学分，其中公共课程7学分，专业核心课程9学分，必修环节7学分（专业实践6学分，学术与技术交流1学分），任选课程不少于12学分（在满足学分要求下不少于4门）。</w:t>
      </w:r>
    </w:p>
    <w:p w14:paraId="1493A4D3">
      <w:pPr>
        <w:widowControl w:val="0"/>
        <w:kinsoku/>
        <w:autoSpaceDE/>
        <w:autoSpaceDN/>
        <w:spacing w:line="360" w:lineRule="auto"/>
        <w:jc w:val="both"/>
        <w:textAlignment w:val="auto"/>
        <w:rPr>
          <w:rFonts w:ascii="仿宋" w:hAnsi="仿宋" w:eastAsia="仿宋" w:cs="仿宋"/>
          <w:b/>
          <w:bCs/>
          <w:snapToGrid/>
          <w:kern w:val="2"/>
          <w:sz w:val="28"/>
          <w:szCs w:val="28"/>
          <w:lang w:eastAsia="zh-CN"/>
        </w:rPr>
      </w:pPr>
      <w:r>
        <w:rPr>
          <w:rFonts w:hint="eastAsia" w:ascii="仿宋" w:hAnsi="仿宋" w:eastAsia="仿宋" w:cs="仿宋"/>
          <w:b/>
          <w:bCs/>
          <w:snapToGrid/>
          <w:kern w:val="2"/>
          <w:sz w:val="28"/>
          <w:szCs w:val="28"/>
          <w:lang w:eastAsia="zh-CN"/>
        </w:rPr>
        <w:t>2.课程设置</w:t>
      </w:r>
    </w:p>
    <w:tbl>
      <w:tblPr>
        <w:tblStyle w:val="5"/>
        <w:tblW w:w="9802" w:type="dxa"/>
        <w:jc w:val="center"/>
        <w:tblLayout w:type="fixed"/>
        <w:tblCellMar>
          <w:top w:w="0" w:type="dxa"/>
          <w:left w:w="108" w:type="dxa"/>
          <w:bottom w:w="0" w:type="dxa"/>
          <w:right w:w="108" w:type="dxa"/>
        </w:tblCellMar>
      </w:tblPr>
      <w:tblGrid>
        <w:gridCol w:w="1442"/>
        <w:gridCol w:w="1260"/>
        <w:gridCol w:w="2743"/>
        <w:gridCol w:w="501"/>
        <w:gridCol w:w="669"/>
        <w:gridCol w:w="705"/>
        <w:gridCol w:w="720"/>
        <w:gridCol w:w="1762"/>
      </w:tblGrid>
      <w:tr w14:paraId="18638516">
        <w:tblPrEx>
          <w:tblCellMar>
            <w:top w:w="0" w:type="dxa"/>
            <w:left w:w="108" w:type="dxa"/>
            <w:bottom w:w="0" w:type="dxa"/>
            <w:right w:w="108" w:type="dxa"/>
          </w:tblCellMar>
        </w:tblPrEx>
        <w:trPr>
          <w:tblHeader/>
          <w:jc w:val="center"/>
        </w:trPr>
        <w:tc>
          <w:tcPr>
            <w:tcW w:w="14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EF2A53">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课程类别</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EBB4D">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课程编号</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7EDF8">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课程名称</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CEB040">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学分</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75B584">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学时</w:t>
            </w:r>
          </w:p>
        </w:tc>
        <w:tc>
          <w:tcPr>
            <w:tcW w:w="70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B5C187">
            <w:pPr>
              <w:jc w:val="center"/>
              <w:textAlignment w:val="center"/>
              <w:rPr>
                <w:rFonts w:ascii="宋体" w:hAnsi="宋体" w:eastAsia="宋体" w:cs="宋体"/>
                <w:b/>
                <w:bCs/>
                <w:sz w:val="22"/>
                <w:szCs w:val="22"/>
              </w:rPr>
            </w:pPr>
            <w:r>
              <w:rPr>
                <w:rStyle w:val="9"/>
                <w:rFonts w:hint="default"/>
                <w:lang w:eastAsia="zh-CN" w:bidi="ar"/>
              </w:rPr>
              <w:t>开课学期</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C818F">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硕士</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EC203">
            <w:pPr>
              <w:jc w:val="center"/>
              <w:textAlignment w:val="center"/>
              <w:rPr>
                <w:rFonts w:ascii="宋体" w:hAnsi="宋体" w:eastAsia="宋体" w:cs="宋体"/>
                <w:b/>
                <w:bCs/>
                <w:sz w:val="22"/>
                <w:szCs w:val="22"/>
              </w:rPr>
            </w:pPr>
            <w:r>
              <w:rPr>
                <w:rFonts w:hint="eastAsia" w:ascii="宋体" w:hAnsi="宋体" w:eastAsia="宋体" w:cs="宋体"/>
                <w:b/>
                <w:bCs/>
                <w:sz w:val="22"/>
                <w:szCs w:val="22"/>
                <w:lang w:eastAsia="zh-CN" w:bidi="ar"/>
              </w:rPr>
              <w:t>备注</w:t>
            </w:r>
          </w:p>
        </w:tc>
      </w:tr>
      <w:tr w14:paraId="5C6A7775">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EFA0A9">
            <w:pPr>
              <w:jc w:val="center"/>
              <w:textAlignment w:val="center"/>
              <w:rPr>
                <w:rFonts w:ascii="宋体" w:hAnsi="宋体" w:eastAsia="宋体" w:cs="宋体"/>
                <w:sz w:val="20"/>
                <w:szCs w:val="20"/>
                <w:lang w:eastAsia="zh-CN"/>
              </w:rPr>
            </w:pPr>
            <w:r>
              <w:rPr>
                <w:rFonts w:hint="eastAsia" w:ascii="宋体" w:hAnsi="宋体" w:eastAsia="宋体" w:cs="宋体"/>
                <w:sz w:val="20"/>
                <w:szCs w:val="20"/>
                <w:lang w:eastAsia="zh-CN" w:bidi="ar"/>
              </w:rPr>
              <w:t>（硕士学段）前置课程</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24589E">
            <w:pPr>
              <w:kinsoku/>
              <w:autoSpaceDE/>
              <w:autoSpaceDN/>
              <w:adjustRightInd/>
              <w:snapToGrid/>
              <w:jc w:val="center"/>
              <w:textAlignment w:val="auto"/>
              <w:rPr>
                <w:rFonts w:ascii="宋体" w:hAnsi="宋体" w:eastAsia="宋体" w:cs="宋体"/>
                <w:sz w:val="20"/>
                <w:szCs w:val="20"/>
                <w:lang w:eastAsia="zh-CN" w:bidi="ar"/>
              </w:rPr>
            </w:pPr>
            <w:r>
              <w:rPr>
                <w:rFonts w:hint="eastAsia" w:ascii="宋体" w:hAnsi="宋体" w:eastAsia="宋体" w:cs="宋体"/>
                <w:sz w:val="20"/>
                <w:szCs w:val="20"/>
                <w:lang w:eastAsia="zh-CN" w:bidi="ar"/>
              </w:rPr>
              <w:t>ELEA3039</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7D877">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自动控制原理</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095B4">
            <w:pPr>
              <w:jc w:val="center"/>
              <w:rPr>
                <w:rFonts w:hint="eastAsia" w:ascii="宋体" w:hAnsi="宋体" w:eastAsia="宋体" w:cs="宋体"/>
                <w:sz w:val="20"/>
                <w:szCs w:val="20"/>
                <w:lang w:eastAsia="zh-CN" w:bidi="ar"/>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CA61A1">
            <w:pPr>
              <w:rPr>
                <w:rFonts w:ascii="宋体" w:hAnsi="宋体" w:eastAsia="宋体" w:cs="宋体"/>
                <w:sz w:val="20"/>
                <w:szCs w:val="20"/>
                <w:lang w:eastAsia="zh-CN" w:bidi="ar"/>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C04E">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A97F7">
            <w:pPr>
              <w:jc w:val="center"/>
              <w:rPr>
                <w:rFonts w:hint="eastAsia" w:ascii="宋体" w:hAnsi="宋体" w:eastAsia="宋体" w:cs="宋体"/>
                <w:sz w:val="20"/>
                <w:szCs w:val="20"/>
                <w:lang w:eastAsia="zh-CN" w:bidi="ar"/>
              </w:rPr>
            </w:pPr>
          </w:p>
        </w:tc>
        <w:tc>
          <w:tcPr>
            <w:tcW w:w="1762" w:type="dxa"/>
            <w:vMerge w:val="restart"/>
            <w:tcBorders>
              <w:top w:val="single" w:color="000000" w:sz="4" w:space="0"/>
              <w:left w:val="single" w:color="000000" w:sz="4" w:space="0"/>
              <w:bottom w:val="nil"/>
              <w:right w:val="single" w:color="000000" w:sz="4" w:space="0"/>
            </w:tcBorders>
            <w:shd w:val="clear" w:color="auto" w:fill="auto"/>
            <w:vAlign w:val="center"/>
          </w:tcPr>
          <w:p w14:paraId="125F827F">
            <w:pPr>
              <w:rPr>
                <w:rFonts w:ascii="宋体" w:hAnsi="宋体" w:eastAsia="宋体" w:cs="宋体"/>
                <w:sz w:val="20"/>
                <w:szCs w:val="20"/>
                <w:lang w:eastAsia="zh-CN"/>
              </w:rPr>
            </w:pPr>
            <w:r>
              <w:rPr>
                <w:rFonts w:hint="eastAsia" w:ascii="宋体" w:hAnsi="宋体" w:eastAsia="宋体" w:cs="宋体"/>
                <w:sz w:val="20"/>
                <w:szCs w:val="20"/>
                <w:lang w:eastAsia="zh-CN" w:bidi="ar"/>
              </w:rPr>
              <w:t>硕士学段开始前完成补修及考核，不计学分</w:t>
            </w:r>
          </w:p>
        </w:tc>
      </w:tr>
      <w:tr w14:paraId="73F85BF5">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CAD31">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EB4DC">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ELEA3058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C8552E">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电子技术基础</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D14A5">
            <w:pPr>
              <w:jc w:val="center"/>
              <w:rPr>
                <w:rFonts w:hint="eastAsia" w:ascii="宋体" w:hAnsi="宋体" w:eastAsia="宋体" w:cs="宋体"/>
                <w:sz w:val="20"/>
                <w:szCs w:val="20"/>
                <w:lang w:eastAsia="zh-CN" w:bidi="ar"/>
              </w:rPr>
            </w:pP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D4835">
            <w:pPr>
              <w:rPr>
                <w:rFonts w:ascii="宋体" w:hAnsi="宋体" w:eastAsia="宋体" w:cs="宋体"/>
                <w:sz w:val="20"/>
                <w:szCs w:val="20"/>
                <w:lang w:eastAsia="zh-CN" w:bidi="ar"/>
              </w:rPr>
            </w:pP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FAD477">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516D18">
            <w:pPr>
              <w:jc w:val="center"/>
              <w:rPr>
                <w:rFonts w:hint="eastAsia" w:ascii="宋体" w:hAnsi="宋体" w:eastAsia="宋体" w:cs="宋体"/>
                <w:sz w:val="20"/>
                <w:szCs w:val="20"/>
                <w:lang w:eastAsia="zh-CN" w:bidi="ar"/>
              </w:rPr>
            </w:pPr>
          </w:p>
        </w:tc>
        <w:tc>
          <w:tcPr>
            <w:tcW w:w="1762" w:type="dxa"/>
            <w:vMerge w:val="continue"/>
            <w:tcBorders>
              <w:top w:val="single" w:color="000000" w:sz="4" w:space="0"/>
              <w:left w:val="single" w:color="000000" w:sz="4" w:space="0"/>
              <w:bottom w:val="nil"/>
              <w:right w:val="single" w:color="000000" w:sz="4" w:space="0"/>
            </w:tcBorders>
            <w:shd w:val="clear" w:color="auto" w:fill="auto"/>
            <w:vAlign w:val="center"/>
          </w:tcPr>
          <w:p w14:paraId="4D2EB80C">
            <w:pPr>
              <w:jc w:val="center"/>
              <w:rPr>
                <w:rFonts w:ascii="宋体" w:hAnsi="宋体" w:eastAsia="宋体" w:cs="宋体"/>
                <w:sz w:val="20"/>
                <w:szCs w:val="20"/>
              </w:rPr>
            </w:pPr>
          </w:p>
        </w:tc>
      </w:tr>
      <w:tr w14:paraId="27654CD1">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EFF6F3">
            <w:pPr>
              <w:jc w:val="center"/>
              <w:textAlignment w:val="center"/>
              <w:rPr>
                <w:rFonts w:ascii="宋体" w:hAnsi="宋体" w:eastAsia="宋体" w:cs="宋体"/>
                <w:sz w:val="20"/>
                <w:szCs w:val="20"/>
                <w:lang w:eastAsia="zh-CN"/>
              </w:rPr>
            </w:pPr>
            <w:r>
              <w:rPr>
                <w:rStyle w:val="10"/>
                <w:rFonts w:hint="default"/>
                <w:lang w:eastAsia="zh-CN" w:bidi="ar"/>
              </w:rPr>
              <w:t>公共必修课：</w:t>
            </w:r>
            <w:r>
              <w:rPr>
                <w:rStyle w:val="11"/>
                <w:rFonts w:ascii="宋体" w:eastAsia="宋体"/>
                <w:lang w:eastAsia="zh-CN" w:bidi="ar"/>
              </w:rPr>
              <w:br w:type="textWrapping"/>
            </w:r>
            <w:r>
              <w:rPr>
                <w:rStyle w:val="12"/>
                <w:rFonts w:hint="default"/>
                <w:lang w:eastAsia="zh-CN" w:bidi="ar"/>
              </w:rPr>
              <w:t>硕士</w:t>
            </w:r>
            <w:r>
              <w:rPr>
                <w:rStyle w:val="11"/>
                <w:rFonts w:ascii="宋体" w:eastAsia="宋体"/>
                <w:lang w:eastAsia="zh-CN" w:bidi="ar"/>
              </w:rPr>
              <w:t>7</w:t>
            </w:r>
            <w:r>
              <w:rPr>
                <w:rStyle w:val="12"/>
                <w:rFonts w:hint="default"/>
                <w:lang w:eastAsia="zh-CN" w:bidi="ar"/>
              </w:rPr>
              <w:t>学分</w:t>
            </w:r>
            <w:r>
              <w:rPr>
                <w:rStyle w:val="11"/>
                <w:rFonts w:ascii="宋体" w:eastAsia="宋体"/>
                <w:lang w:eastAsia="zh-CN" w:bidi="ar"/>
              </w:rPr>
              <w:br w:type="textWrapping"/>
            </w:r>
            <w:r>
              <w:rPr>
                <w:rStyle w:val="12"/>
                <w:rFonts w:hint="default"/>
                <w:lang w:eastAsia="zh-CN" w:bidi="ar"/>
              </w:rPr>
              <w:t>留学生</w:t>
            </w:r>
            <w:r>
              <w:rPr>
                <w:rStyle w:val="11"/>
                <w:rFonts w:ascii="宋体" w:eastAsia="宋体"/>
                <w:lang w:eastAsia="zh-CN" w:bidi="ar"/>
              </w:rPr>
              <w:t>6</w:t>
            </w:r>
            <w:r>
              <w:rPr>
                <w:rStyle w:val="12"/>
                <w:rFonts w:hint="default"/>
                <w:lang w:eastAsia="zh-CN" w:bidi="ar"/>
              </w:rPr>
              <w:t>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385CF">
            <w:pPr>
              <w:kinsoku/>
              <w:autoSpaceDE/>
              <w:autoSpaceDN/>
              <w:adjustRightInd/>
              <w:snapToGrid/>
              <w:jc w:val="center"/>
              <w:textAlignment w:val="auto"/>
              <w:rPr>
                <w:rFonts w:ascii="宋体" w:hAnsi="宋体" w:eastAsia="宋体" w:cs="宋体"/>
                <w:sz w:val="20"/>
                <w:szCs w:val="20"/>
                <w:lang w:eastAsia="zh-CN" w:bidi="ar"/>
              </w:rPr>
            </w:pPr>
            <w:r>
              <w:rPr>
                <w:rFonts w:ascii="宋体" w:hAnsi="宋体" w:eastAsia="宋体" w:cs="宋体"/>
                <w:sz w:val="20"/>
                <w:szCs w:val="20"/>
                <w:lang w:eastAsia="zh-CN" w:bidi="ar"/>
              </w:rPr>
              <w:t>21999001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414ED7">
            <w:pPr>
              <w:rPr>
                <w:rFonts w:ascii="宋体" w:hAnsi="宋体" w:eastAsia="宋体" w:cs="宋体"/>
                <w:sz w:val="20"/>
                <w:szCs w:val="20"/>
                <w:lang w:eastAsia="zh-CN" w:bidi="ar"/>
              </w:rPr>
            </w:pPr>
            <w:r>
              <w:rPr>
                <w:rFonts w:hint="eastAsia" w:ascii="宋体" w:hAnsi="宋体" w:eastAsia="宋体" w:cs="宋体"/>
                <w:sz w:val="20"/>
                <w:szCs w:val="20"/>
                <w:lang w:eastAsia="zh-CN" w:bidi="ar"/>
              </w:rPr>
              <w:t>新时代中国特色社会主义理论与实践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C64F54">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56671">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39160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B62F3">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22ECC1">
            <w:pPr>
              <w:jc w:val="center"/>
              <w:textAlignment w:val="center"/>
              <w:rPr>
                <w:rFonts w:ascii="宋体" w:hAnsi="宋体" w:eastAsia="宋体" w:cs="宋体"/>
                <w:sz w:val="20"/>
                <w:szCs w:val="20"/>
                <w:lang w:eastAsia="zh-CN"/>
              </w:rPr>
            </w:pPr>
            <w:r>
              <w:rPr>
                <w:rStyle w:val="10"/>
                <w:rFonts w:hint="default"/>
                <w:lang w:eastAsia="zh-CN" w:bidi="ar"/>
              </w:rPr>
              <w:t>港澳台、留学生</w:t>
            </w:r>
            <w:r>
              <w:rPr>
                <w:rStyle w:val="11"/>
                <w:rFonts w:ascii="宋体" w:eastAsia="宋体"/>
                <w:lang w:eastAsia="zh-CN" w:bidi="ar"/>
              </w:rPr>
              <w:t>(</w:t>
            </w:r>
            <w:r>
              <w:rPr>
                <w:rStyle w:val="12"/>
                <w:rFonts w:hint="default"/>
                <w:lang w:eastAsia="zh-CN" w:bidi="ar"/>
              </w:rPr>
              <w:t>哲学、政治学除外</w:t>
            </w:r>
            <w:r>
              <w:rPr>
                <w:rStyle w:val="11"/>
                <w:rFonts w:ascii="宋体" w:eastAsia="宋体"/>
                <w:lang w:eastAsia="zh-CN" w:bidi="ar"/>
              </w:rPr>
              <w:t>)</w:t>
            </w:r>
            <w:r>
              <w:rPr>
                <w:rStyle w:val="12"/>
                <w:rFonts w:hint="default"/>
                <w:lang w:eastAsia="zh-CN" w:bidi="ar"/>
              </w:rPr>
              <w:t>可免修</w:t>
            </w:r>
          </w:p>
        </w:tc>
      </w:tr>
      <w:tr w14:paraId="067B6476">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3259D">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C5AB">
            <w:pPr>
              <w:jc w:val="center"/>
              <w:rPr>
                <w:rFonts w:ascii="宋体" w:hAnsi="宋体" w:eastAsia="宋体" w:cs="宋体"/>
                <w:sz w:val="20"/>
                <w:szCs w:val="20"/>
                <w:lang w:eastAsia="zh-CN" w:bidi="ar"/>
              </w:rPr>
            </w:pPr>
            <w:r>
              <w:rPr>
                <w:rFonts w:ascii="宋体" w:hAnsi="宋体" w:eastAsia="宋体" w:cs="宋体"/>
                <w:sz w:val="20"/>
                <w:szCs w:val="20"/>
                <w:lang w:eastAsia="zh-CN" w:bidi="ar"/>
              </w:rPr>
              <w:t>21999002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6E544">
            <w:pPr>
              <w:rPr>
                <w:rFonts w:ascii="宋体" w:hAnsi="宋体" w:eastAsia="宋体" w:cs="宋体"/>
                <w:sz w:val="20"/>
                <w:szCs w:val="20"/>
                <w:lang w:eastAsia="zh-CN" w:bidi="ar"/>
              </w:rPr>
            </w:pPr>
            <w:r>
              <w:rPr>
                <w:rFonts w:ascii="宋体" w:hAnsi="宋体" w:eastAsia="宋体" w:cs="宋体"/>
                <w:sz w:val="20"/>
                <w:szCs w:val="20"/>
                <w:lang w:eastAsia="zh-CN" w:bidi="ar"/>
              </w:rPr>
              <w:t>自然辩证法概论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07EE5">
            <w:pPr>
              <w:jc w:val="center"/>
              <w:rPr>
                <w:rFonts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620F14">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A6364B">
            <w:pPr>
              <w:jc w:val="center"/>
              <w:rPr>
                <w:rFonts w:ascii="宋体" w:hAnsi="宋体" w:eastAsia="宋体" w:cs="宋体"/>
                <w:sz w:val="20"/>
                <w:szCs w:val="20"/>
                <w:lang w:eastAsia="zh-CN" w:bidi="ar"/>
              </w:rPr>
            </w:pPr>
            <w:r>
              <w:rPr>
                <w:rFonts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70D2">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F5FF4F">
            <w:pPr>
              <w:jc w:val="center"/>
              <w:rPr>
                <w:rFonts w:ascii="宋体" w:hAnsi="宋体" w:eastAsia="宋体" w:cs="宋体"/>
                <w:sz w:val="20"/>
                <w:szCs w:val="20"/>
              </w:rPr>
            </w:pPr>
          </w:p>
        </w:tc>
      </w:tr>
      <w:tr w14:paraId="1DE192AF">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BF00C3">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5B5729">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17999999</w:t>
            </w:r>
          </w:p>
          <w:p w14:paraId="0D443C23">
            <w:pPr>
              <w:jc w:val="center"/>
              <w:rPr>
                <w:rFonts w:ascii="宋体" w:hAnsi="宋体" w:eastAsia="宋体" w:cs="宋体"/>
                <w:sz w:val="20"/>
                <w:szCs w:val="20"/>
                <w:lang w:eastAsia="zh-CN" w:bidi="ar"/>
              </w:rPr>
            </w:pPr>
            <w:r>
              <w:rPr>
                <w:rFonts w:ascii="宋体" w:hAnsi="宋体" w:eastAsia="宋体" w:cs="宋体"/>
                <w:sz w:val="20"/>
                <w:szCs w:val="20"/>
                <w:lang w:eastAsia="zh-CN" w:bidi="ar"/>
              </w:rPr>
              <w:t>(</w:t>
            </w:r>
            <w:r>
              <w:rPr>
                <w:rFonts w:hint="eastAsia" w:ascii="宋体" w:hAnsi="宋体" w:eastAsia="宋体" w:cs="宋体"/>
                <w:sz w:val="20"/>
                <w:szCs w:val="20"/>
                <w:lang w:eastAsia="zh-CN" w:bidi="ar"/>
              </w:rPr>
              <w:t>硕</w:t>
            </w:r>
            <w:r>
              <w:rPr>
                <w:rFonts w:ascii="宋体" w:hAnsi="宋体" w:eastAsia="宋体" w:cs="宋体"/>
                <w:sz w:val="20"/>
                <w:szCs w:val="20"/>
                <w:lang w:eastAsia="zh-CN" w:bidi="ar"/>
              </w:rPr>
              <w:t>)</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6FAA">
            <w:pPr>
              <w:rPr>
                <w:rFonts w:ascii="宋体" w:hAnsi="宋体" w:eastAsia="宋体" w:cs="宋体"/>
                <w:sz w:val="20"/>
                <w:szCs w:val="20"/>
                <w:lang w:eastAsia="zh-CN" w:bidi="ar"/>
              </w:rPr>
            </w:pPr>
            <w:r>
              <w:rPr>
                <w:rFonts w:hint="eastAsia" w:ascii="宋体" w:hAnsi="宋体" w:eastAsia="宋体" w:cs="宋体"/>
                <w:sz w:val="20"/>
                <w:szCs w:val="20"/>
                <w:lang w:eastAsia="zh-CN" w:bidi="ar"/>
              </w:rPr>
              <w:t>基础英语</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10EEA">
            <w:pPr>
              <w:jc w:val="center"/>
              <w:rPr>
                <w:rFonts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99D46">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EF74F">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1C2FE">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50E725">
            <w:pPr>
              <w:jc w:val="center"/>
              <w:rPr>
                <w:rFonts w:ascii="宋体" w:hAnsi="Times New Roman" w:eastAsia="宋体" w:cs="Times New Roman"/>
                <w:sz w:val="20"/>
                <w:szCs w:val="20"/>
              </w:rPr>
            </w:pPr>
          </w:p>
        </w:tc>
      </w:tr>
      <w:tr w14:paraId="767092FB">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CB17D">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6A546D">
            <w:pPr>
              <w:jc w:val="center"/>
              <w:rPr>
                <w:rFonts w:ascii="宋体" w:hAnsi="宋体" w:eastAsia="宋体" w:cs="宋体"/>
                <w:sz w:val="20"/>
                <w:szCs w:val="20"/>
                <w:lang w:eastAsia="zh-CN" w:bidi="ar"/>
              </w:rPr>
            </w:pPr>
            <w:r>
              <w:rPr>
                <w:rFonts w:ascii="宋体" w:hAnsi="宋体" w:eastAsia="宋体" w:cs="宋体"/>
                <w:sz w:val="20"/>
                <w:szCs w:val="20"/>
                <w:lang w:eastAsia="zh-CN" w:bidi="ar"/>
              </w:rPr>
              <w:t>z17999008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8E774">
            <w:pPr>
              <w:rPr>
                <w:rFonts w:ascii="宋体" w:hAnsi="宋体" w:eastAsia="宋体" w:cs="宋体"/>
                <w:sz w:val="20"/>
                <w:szCs w:val="20"/>
                <w:lang w:eastAsia="zh-CN" w:bidi="ar"/>
              </w:rPr>
            </w:pPr>
            <w:r>
              <w:rPr>
                <w:rFonts w:hint="eastAsia" w:ascii="宋体" w:hAnsi="宋体" w:eastAsia="宋体" w:cs="宋体"/>
                <w:sz w:val="20"/>
                <w:szCs w:val="20"/>
                <w:lang w:eastAsia="zh-CN" w:bidi="ar"/>
              </w:rPr>
              <w:t>工程伦理</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26508">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A497BC">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42114E">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83EAF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059C4">
            <w:pPr>
              <w:jc w:val="center"/>
              <w:rPr>
                <w:rFonts w:ascii="宋体" w:hAnsi="Times New Roman" w:eastAsia="宋体" w:cs="Times New Roman"/>
                <w:sz w:val="20"/>
                <w:szCs w:val="20"/>
              </w:rPr>
            </w:pPr>
          </w:p>
        </w:tc>
      </w:tr>
      <w:tr w14:paraId="45737AC3">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C3253">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B182D7">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17999015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FBFA4">
            <w:pPr>
              <w:rPr>
                <w:rFonts w:ascii="宋体" w:hAnsi="宋体" w:eastAsia="宋体" w:cs="宋体"/>
                <w:sz w:val="20"/>
                <w:szCs w:val="20"/>
                <w:lang w:eastAsia="zh-CN" w:bidi="ar"/>
              </w:rPr>
            </w:pPr>
            <w:r>
              <w:rPr>
                <w:rFonts w:hint="eastAsia" w:ascii="宋体" w:hAnsi="宋体" w:eastAsia="宋体" w:cs="宋体"/>
                <w:sz w:val="20"/>
                <w:szCs w:val="20"/>
                <w:lang w:eastAsia="zh-CN" w:bidi="ar"/>
              </w:rPr>
              <w:t>汉语</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DD6BF">
            <w:pPr>
              <w:jc w:val="center"/>
              <w:rPr>
                <w:rFonts w:ascii="宋体" w:hAnsi="宋体" w:eastAsia="宋体" w:cs="宋体"/>
                <w:sz w:val="20"/>
                <w:szCs w:val="20"/>
                <w:lang w:eastAsia="zh-CN" w:bidi="ar"/>
              </w:rPr>
            </w:pPr>
            <w:r>
              <w:rPr>
                <w:rFonts w:ascii="宋体" w:hAnsi="宋体" w:eastAsia="宋体" w:cs="宋体"/>
                <w:sz w:val="20"/>
                <w:szCs w:val="20"/>
                <w:lang w:eastAsia="zh-CN" w:bidi="ar"/>
              </w:rPr>
              <w:t>4</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7463F9">
            <w:pPr>
              <w:jc w:val="center"/>
              <w:rPr>
                <w:rFonts w:ascii="宋体" w:hAnsi="宋体" w:eastAsia="宋体" w:cs="宋体"/>
                <w:sz w:val="20"/>
                <w:szCs w:val="20"/>
                <w:lang w:eastAsia="zh-CN" w:bidi="ar"/>
              </w:rPr>
            </w:pPr>
            <w:r>
              <w:rPr>
                <w:rFonts w:ascii="宋体" w:hAnsi="宋体" w:eastAsia="宋体" w:cs="宋体"/>
                <w:sz w:val="20"/>
                <w:szCs w:val="20"/>
                <w:lang w:eastAsia="zh-CN" w:bidi="ar"/>
              </w:rPr>
              <w:t>72</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0A96F">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F19E7D">
            <w:pPr>
              <w:jc w:val="center"/>
              <w:rPr>
                <w:rFonts w:ascii="宋体" w:hAnsi="宋体" w:eastAsia="宋体" w:cs="宋体"/>
                <w:sz w:val="20"/>
                <w:szCs w:val="20"/>
                <w:lang w:eastAsia="zh-CN" w:bidi="ar"/>
              </w:rPr>
            </w:pPr>
          </w:p>
        </w:tc>
        <w:tc>
          <w:tcPr>
            <w:tcW w:w="176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65AE5E">
            <w:pPr>
              <w:jc w:val="center"/>
              <w:textAlignment w:val="center"/>
              <w:rPr>
                <w:rFonts w:ascii="宋体" w:hAnsi="Times New Roman" w:eastAsia="宋体" w:cs="Times New Roman"/>
                <w:sz w:val="20"/>
                <w:szCs w:val="20"/>
              </w:rPr>
            </w:pPr>
            <w:r>
              <w:rPr>
                <w:rStyle w:val="12"/>
                <w:rFonts w:hint="default"/>
                <w:lang w:eastAsia="zh-CN" w:bidi="ar"/>
              </w:rPr>
              <w:t>留学生必修</w:t>
            </w:r>
          </w:p>
        </w:tc>
      </w:tr>
      <w:tr w14:paraId="4276FD48">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DD6EC4">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C7CEE">
            <w:pPr>
              <w:jc w:val="center"/>
              <w:rPr>
                <w:rFonts w:ascii="宋体" w:hAnsi="宋体" w:eastAsia="宋体" w:cs="宋体"/>
                <w:sz w:val="20"/>
                <w:szCs w:val="20"/>
                <w:lang w:eastAsia="zh-CN" w:bidi="ar"/>
              </w:rPr>
            </w:pPr>
            <w:r>
              <w:rPr>
                <w:rFonts w:ascii="宋体" w:hAnsi="宋体" w:eastAsia="宋体" w:cs="宋体"/>
                <w:sz w:val="20"/>
                <w:szCs w:val="20"/>
                <w:lang w:eastAsia="zh-CN" w:bidi="ar"/>
              </w:rPr>
              <w:t>17999016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41C65">
            <w:pPr>
              <w:rPr>
                <w:rFonts w:ascii="宋体" w:hAnsi="宋体" w:eastAsia="宋体" w:cs="宋体"/>
                <w:sz w:val="20"/>
                <w:szCs w:val="20"/>
                <w:lang w:eastAsia="zh-CN" w:bidi="ar"/>
              </w:rPr>
            </w:pPr>
            <w:r>
              <w:rPr>
                <w:rFonts w:hint="eastAsia" w:ascii="宋体" w:hAnsi="宋体" w:eastAsia="宋体" w:cs="宋体"/>
                <w:sz w:val="20"/>
                <w:szCs w:val="20"/>
                <w:lang w:eastAsia="zh-CN" w:bidi="ar"/>
              </w:rPr>
              <w:t>中国概况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3CF9F">
            <w:pPr>
              <w:jc w:val="center"/>
              <w:rPr>
                <w:rFonts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59D1C">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667C62">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9B98B">
            <w:pPr>
              <w:jc w:val="center"/>
              <w:rPr>
                <w:rFonts w:ascii="宋体" w:hAnsi="宋体" w:eastAsia="宋体" w:cs="宋体"/>
                <w:sz w:val="20"/>
                <w:szCs w:val="20"/>
                <w:lang w:eastAsia="zh-CN" w:bidi="ar"/>
              </w:rPr>
            </w:pPr>
          </w:p>
        </w:tc>
        <w:tc>
          <w:tcPr>
            <w:tcW w:w="176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FCD85">
            <w:pPr>
              <w:jc w:val="center"/>
              <w:rPr>
                <w:rFonts w:ascii="宋体" w:hAnsi="Times New Roman" w:eastAsia="宋体" w:cs="Times New Roman"/>
                <w:sz w:val="20"/>
                <w:szCs w:val="20"/>
              </w:rPr>
            </w:pPr>
          </w:p>
        </w:tc>
      </w:tr>
      <w:tr w14:paraId="1796972B">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C16584">
            <w:pPr>
              <w:jc w:val="center"/>
              <w:textAlignment w:val="center"/>
              <w:rPr>
                <w:rFonts w:ascii="宋体" w:hAnsi="宋体" w:eastAsia="宋体" w:cs="宋体"/>
                <w:sz w:val="20"/>
                <w:szCs w:val="20"/>
                <w:lang w:eastAsia="zh-CN"/>
              </w:rPr>
            </w:pPr>
            <w:r>
              <w:rPr>
                <w:rStyle w:val="14"/>
                <w:rFonts w:hint="default"/>
                <w:lang w:eastAsia="zh-CN" w:bidi="ar"/>
              </w:rPr>
              <w:t>学位核心课：</w:t>
            </w:r>
            <w:r>
              <w:rPr>
                <w:rStyle w:val="15"/>
                <w:rFonts w:ascii="宋体" w:eastAsia="宋体"/>
                <w:lang w:eastAsia="zh-CN" w:bidi="ar"/>
              </w:rPr>
              <w:br w:type="textWrapping"/>
            </w:r>
            <w:r>
              <w:rPr>
                <w:rStyle w:val="14"/>
                <w:rFonts w:hint="default"/>
                <w:lang w:eastAsia="zh-CN" w:bidi="ar"/>
              </w:rPr>
              <w:t>硕士≥9学分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8231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25215019</w:t>
            </w:r>
          </w:p>
        </w:tc>
        <w:tc>
          <w:tcPr>
            <w:tcW w:w="27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5AF33A">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论文写作</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67287">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BB57">
            <w:pPr>
              <w:jc w:val="center"/>
              <w:rPr>
                <w:rFonts w:ascii="宋体" w:hAnsi="宋体" w:eastAsia="宋体" w:cs="宋体"/>
                <w:sz w:val="20"/>
                <w:szCs w:val="20"/>
                <w:lang w:eastAsia="zh-CN" w:bidi="ar"/>
              </w:rPr>
            </w:pPr>
            <w:r>
              <w:rPr>
                <w:rFonts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EA54A">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191F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683BD8">
            <w:pPr>
              <w:jc w:val="center"/>
              <w:rPr>
                <w:rFonts w:hint="eastAsia" w:ascii="宋体" w:hAnsi="宋体" w:eastAsia="宋体" w:cs="宋体"/>
                <w:sz w:val="20"/>
                <w:szCs w:val="20"/>
                <w:lang w:eastAsia="zh-CN" w:bidi="ar"/>
              </w:rPr>
            </w:pPr>
          </w:p>
        </w:tc>
      </w:tr>
      <w:tr w14:paraId="5F07C62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48B58">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FD57EA">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25215006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3005FA">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线性系统的理论与方法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BACD64">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90FF">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13130F">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FE3084">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61BE5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方法课程，核心课程指南</w:t>
            </w:r>
          </w:p>
        </w:tc>
      </w:tr>
      <w:tr w14:paraId="6442889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456FC">
            <w:pPr>
              <w:jc w:val="center"/>
              <w:rPr>
                <w:rFonts w:ascii="宋体" w:hAnsi="宋体" w:eastAsia="宋体" w:cs="宋体"/>
                <w:sz w:val="20"/>
                <w:szCs w:val="20"/>
                <w:lang w:eastAsia="zh-CN"/>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119B31">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25215007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D068FA">
            <w:pPr>
              <w:rPr>
                <w:rFonts w:ascii="宋体" w:hAnsi="宋体" w:eastAsia="宋体" w:cs="宋体"/>
                <w:sz w:val="20"/>
                <w:szCs w:val="20"/>
                <w:lang w:eastAsia="zh-CN" w:bidi="ar"/>
              </w:rPr>
            </w:pPr>
            <w:r>
              <w:rPr>
                <w:rFonts w:hint="eastAsia" w:ascii="宋体" w:hAnsi="宋体" w:eastAsia="宋体" w:cs="宋体"/>
                <w:sz w:val="20"/>
                <w:szCs w:val="20"/>
                <w:lang w:eastAsia="zh-CN" w:bidi="ar"/>
              </w:rPr>
              <w:t>智能机器人前沿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9B5D1C">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7395D0">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63AE74">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7F8B34">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29917">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前沿课程</w:t>
            </w:r>
          </w:p>
        </w:tc>
      </w:tr>
      <w:tr w14:paraId="64421537">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2AA30">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C0BCB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25215008</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2ECE3">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现代控制的理论与方法</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050182">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453065">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82DA">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576D2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52AC">
            <w:pPr>
              <w:jc w:val="center"/>
              <w:rPr>
                <w:rFonts w:hint="eastAsia" w:ascii="宋体" w:hAnsi="宋体" w:eastAsia="宋体" w:cs="宋体"/>
                <w:sz w:val="20"/>
                <w:szCs w:val="20"/>
                <w:lang w:eastAsia="zh-CN" w:bidi="ar"/>
              </w:rPr>
            </w:pPr>
          </w:p>
        </w:tc>
      </w:tr>
      <w:tr w14:paraId="0CCB1D09">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3108DF">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B7072">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25215009</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159BA">
            <w:pPr>
              <w:rPr>
                <w:rFonts w:ascii="宋体" w:hAnsi="宋体" w:eastAsia="宋体" w:cs="宋体"/>
                <w:sz w:val="20"/>
                <w:szCs w:val="20"/>
                <w:lang w:eastAsia="zh-CN" w:bidi="ar"/>
              </w:rPr>
            </w:pPr>
            <w:r>
              <w:rPr>
                <w:rFonts w:hint="eastAsia" w:ascii="宋体" w:hAnsi="宋体" w:eastAsia="宋体" w:cs="宋体"/>
                <w:sz w:val="20"/>
                <w:szCs w:val="20"/>
                <w:lang w:eastAsia="zh-CN" w:bidi="ar"/>
              </w:rPr>
              <w:t>深度学习技术前沿</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113A0">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FC1A2">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F5027C">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68DC55">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70347F">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前沿课程</w:t>
            </w:r>
          </w:p>
        </w:tc>
      </w:tr>
      <w:tr w14:paraId="5D35FD65">
        <w:tblPrEx>
          <w:tblCellMar>
            <w:top w:w="0" w:type="dxa"/>
            <w:left w:w="108" w:type="dxa"/>
            <w:bottom w:w="0" w:type="dxa"/>
            <w:right w:w="108" w:type="dxa"/>
          </w:tblCellMar>
        </w:tblPrEx>
        <w:trPr>
          <w:jc w:val="center"/>
        </w:trPr>
        <w:tc>
          <w:tcPr>
            <w:tcW w:w="144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4D4181">
            <w:pPr>
              <w:jc w:val="center"/>
              <w:textAlignment w:val="center"/>
              <w:rPr>
                <w:rFonts w:ascii="宋体" w:hAnsi="宋体" w:eastAsia="宋体" w:cs="宋体"/>
                <w:sz w:val="20"/>
                <w:szCs w:val="20"/>
                <w:lang w:eastAsia="zh-CN"/>
              </w:rPr>
            </w:pPr>
            <w:r>
              <w:rPr>
                <w:rFonts w:hint="eastAsia" w:ascii="宋体" w:hAnsi="宋体" w:eastAsia="宋体" w:cs="宋体"/>
                <w:sz w:val="20"/>
                <w:szCs w:val="20"/>
                <w:lang w:eastAsia="zh-CN" w:bidi="ar"/>
              </w:rPr>
              <w:t>任选课程：                 硕士≥12学分</w:t>
            </w: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C5A8">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25215010</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541F57">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文献导读与写作</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611E">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2F8087">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18</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9B8E9F">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B99D5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36A38">
            <w:pPr>
              <w:jc w:val="center"/>
              <w:rPr>
                <w:rFonts w:hint="eastAsia" w:ascii="宋体" w:hAnsi="宋体" w:eastAsia="宋体" w:cs="宋体"/>
                <w:sz w:val="20"/>
                <w:szCs w:val="20"/>
                <w:lang w:eastAsia="zh-CN" w:bidi="ar"/>
              </w:rPr>
            </w:pPr>
          </w:p>
        </w:tc>
      </w:tr>
      <w:tr w14:paraId="68884C0E">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7E55DE">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33EC0C">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Z20215045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07EF13">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工业自动化应用(案例教学)</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6FF3C">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5AF47">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9FF8A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8D64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9F7CB">
            <w:pPr>
              <w:jc w:val="center"/>
              <w:rPr>
                <w:rFonts w:hint="eastAsia" w:ascii="宋体" w:hAnsi="宋体" w:eastAsia="宋体" w:cs="宋体"/>
                <w:sz w:val="20"/>
                <w:szCs w:val="20"/>
                <w:lang w:eastAsia="zh-CN" w:bidi="ar"/>
              </w:rPr>
            </w:pPr>
            <w:bookmarkStart w:id="0" w:name="_GoBack"/>
            <w:r>
              <w:rPr>
                <w:rFonts w:hint="eastAsia" w:ascii="宋体" w:hAnsi="宋体" w:eastAsia="宋体" w:cs="宋体"/>
                <w:color w:val="auto"/>
                <w:sz w:val="20"/>
                <w:szCs w:val="20"/>
                <w:lang w:eastAsia="zh-CN" w:bidi="ar"/>
              </w:rPr>
              <w:t>工程案例课</w:t>
            </w:r>
            <w:bookmarkEnd w:id="0"/>
          </w:p>
        </w:tc>
      </w:tr>
      <w:tr w14:paraId="15755715">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0DC739">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F30C0">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Z20215011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A14BC6">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先进控制系统</w:t>
            </w:r>
          </w:p>
        </w:tc>
        <w:tc>
          <w:tcPr>
            <w:tcW w:w="50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F353D0">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3</w:t>
            </w:r>
          </w:p>
        </w:tc>
        <w:tc>
          <w:tcPr>
            <w:tcW w:w="6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F3CEB">
            <w:pPr>
              <w:jc w:val="center"/>
              <w:rPr>
                <w:rFonts w:ascii="宋体" w:hAnsi="宋体" w:eastAsia="宋体" w:cs="宋体"/>
                <w:sz w:val="20"/>
                <w:szCs w:val="20"/>
                <w:lang w:eastAsia="zh-CN" w:bidi="ar"/>
              </w:rPr>
            </w:pPr>
            <w:r>
              <w:rPr>
                <w:rFonts w:ascii="宋体" w:hAnsi="宋体" w:eastAsia="宋体" w:cs="宋体"/>
                <w:sz w:val="20"/>
                <w:szCs w:val="20"/>
                <w:lang w:eastAsia="zh-CN" w:bidi="ar"/>
              </w:rPr>
              <w:t>54</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F04BB">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406CE">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F865B7">
            <w:pPr>
              <w:jc w:val="center"/>
              <w:rPr>
                <w:rFonts w:hint="eastAsia" w:ascii="宋体" w:hAnsi="宋体" w:eastAsia="宋体" w:cs="宋体"/>
                <w:sz w:val="20"/>
                <w:szCs w:val="20"/>
                <w:lang w:eastAsia="zh-CN" w:bidi="ar"/>
              </w:rPr>
            </w:pPr>
          </w:p>
        </w:tc>
      </w:tr>
      <w:tr w14:paraId="1C372340">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96C4AB">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680DC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Z20215025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BC9DCA">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智能制造导论</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F9D8E6">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DC85DB">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65E7C">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EE441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717D35">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学科交叉课程</w:t>
            </w:r>
          </w:p>
        </w:tc>
      </w:tr>
      <w:tr w14:paraId="1566B88B">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66506">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2876C5">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Z20215007</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D77C0">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微机电系统工程</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81556">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07345B">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C14A4">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3D172">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4C433C">
            <w:pPr>
              <w:jc w:val="center"/>
              <w:rPr>
                <w:rFonts w:hint="eastAsia" w:ascii="宋体" w:hAnsi="宋体" w:eastAsia="宋体" w:cs="宋体"/>
                <w:sz w:val="20"/>
                <w:szCs w:val="20"/>
                <w:lang w:eastAsia="zh-CN" w:bidi="ar"/>
              </w:rPr>
            </w:pPr>
          </w:p>
        </w:tc>
      </w:tr>
      <w:tr w14:paraId="018EB8A1">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C847E0">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D9624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Z20245003</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C670E">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无人机原理与应用</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1FA85">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D884D">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341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CBA73D">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9A11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学科交叉课程</w:t>
            </w:r>
          </w:p>
        </w:tc>
      </w:tr>
      <w:tr w14:paraId="7D64660B">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E98B8">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75E2A">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Z20245005</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3F943">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电路与嵌入式开发</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D7DBF">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168C7D">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11FD">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6DBA8">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04F1D">
            <w:pPr>
              <w:jc w:val="center"/>
              <w:rPr>
                <w:rFonts w:hint="eastAsia" w:ascii="宋体" w:hAnsi="宋体" w:eastAsia="宋体" w:cs="宋体"/>
                <w:sz w:val="20"/>
                <w:szCs w:val="20"/>
                <w:lang w:eastAsia="zh-CN" w:bidi="ar"/>
              </w:rPr>
            </w:pPr>
          </w:p>
        </w:tc>
      </w:tr>
      <w:tr w14:paraId="22D854BD">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93D835">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ECCE3">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Z20245002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6402F">
            <w:pP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机器人控制技术</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C27CC8">
            <w:pPr>
              <w:jc w:val="center"/>
              <w:rPr>
                <w:rFonts w:hint="eastAsia" w:ascii="宋体" w:hAnsi="宋体" w:eastAsia="宋体" w:cs="宋体"/>
                <w:sz w:val="20"/>
                <w:szCs w:val="20"/>
                <w:lang w:eastAsia="zh-CN" w:bidi="ar"/>
              </w:rPr>
            </w:pPr>
            <w:r>
              <w:rPr>
                <w:rFonts w:ascii="宋体" w:hAnsi="宋体" w:eastAsia="宋体" w:cs="宋体"/>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1D40">
            <w:pPr>
              <w:jc w:val="center"/>
              <w:rPr>
                <w:rFonts w:ascii="宋体" w:hAnsi="宋体" w:eastAsia="宋体" w:cs="宋体"/>
                <w:sz w:val="20"/>
                <w:szCs w:val="20"/>
                <w:lang w:eastAsia="zh-CN" w:bidi="ar"/>
              </w:rPr>
            </w:pPr>
            <w:r>
              <w:rPr>
                <w:rFonts w:ascii="宋体" w:hAnsi="宋体" w:eastAsia="宋体" w:cs="宋体"/>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5D98E">
            <w:pPr>
              <w:jc w:val="center"/>
              <w:rPr>
                <w:rFonts w:ascii="宋体" w:hAnsi="宋体" w:eastAsia="宋体" w:cs="宋体"/>
                <w:sz w:val="20"/>
                <w:szCs w:val="20"/>
                <w:lang w:eastAsia="zh-CN" w:bidi="ar"/>
              </w:rPr>
            </w:pPr>
            <w:r>
              <w:rPr>
                <w:rFonts w:hint="eastAsia" w:ascii="宋体" w:hAnsi="宋体" w:eastAsia="宋体" w:cs="宋体"/>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1FBCC">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D1B55">
            <w:pPr>
              <w:jc w:val="center"/>
              <w:rPr>
                <w:rFonts w:hint="eastAsia" w:ascii="宋体" w:hAnsi="宋体" w:eastAsia="宋体" w:cs="宋体"/>
                <w:sz w:val="20"/>
                <w:szCs w:val="20"/>
                <w:lang w:eastAsia="zh-CN" w:bidi="ar"/>
              </w:rPr>
            </w:pPr>
            <w:r>
              <w:rPr>
                <w:rFonts w:hint="eastAsia" w:ascii="宋体" w:hAnsi="宋体" w:eastAsia="宋体" w:cs="宋体"/>
                <w:sz w:val="20"/>
                <w:szCs w:val="20"/>
                <w:lang w:eastAsia="zh-CN" w:bidi="ar"/>
              </w:rPr>
              <w:t>博士预备课程</w:t>
            </w:r>
          </w:p>
        </w:tc>
      </w:tr>
      <w:tr w14:paraId="25291B71">
        <w:tblPrEx>
          <w:tblCellMar>
            <w:top w:w="0" w:type="dxa"/>
            <w:left w:w="108" w:type="dxa"/>
            <w:bottom w:w="0" w:type="dxa"/>
            <w:right w:w="108" w:type="dxa"/>
          </w:tblCellMar>
        </w:tblPrEx>
        <w:trPr>
          <w:jc w:val="center"/>
        </w:trPr>
        <w:tc>
          <w:tcPr>
            <w:tcW w:w="1442"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6A72038D">
            <w:pPr>
              <w:jc w:val="center"/>
              <w:rPr>
                <w:rFonts w:ascii="宋体" w:hAnsi="宋体" w:eastAsia="宋体" w:cs="宋体"/>
                <w:sz w:val="20"/>
                <w:szCs w:val="20"/>
              </w:rPr>
            </w:pPr>
          </w:p>
        </w:tc>
        <w:tc>
          <w:tcPr>
            <w:tcW w:w="126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7A9351">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Z20245006</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57395">
            <w:pP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项目制研修</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91D1B1">
            <w:pPr>
              <w:jc w:val="center"/>
              <w:rPr>
                <w:rFonts w:hint="eastAsia" w:ascii="宋体" w:hAnsi="宋体" w:eastAsia="宋体" w:cs="宋体"/>
                <w:color w:val="auto"/>
                <w:sz w:val="20"/>
                <w:szCs w:val="20"/>
                <w:lang w:eastAsia="zh-CN" w:bidi="ar"/>
              </w:rPr>
            </w:pPr>
            <w:r>
              <w:rPr>
                <w:rFonts w:ascii="宋体" w:hAnsi="宋体" w:eastAsia="宋体" w:cs="宋体"/>
                <w:color w:val="auto"/>
                <w:sz w:val="20"/>
                <w:szCs w:val="20"/>
                <w:lang w:eastAsia="zh-CN" w:bidi="ar"/>
              </w:rPr>
              <w:t>2</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F1041F">
            <w:pPr>
              <w:jc w:val="center"/>
              <w:rPr>
                <w:rFonts w:ascii="宋体" w:hAnsi="宋体" w:eastAsia="宋体" w:cs="宋体"/>
                <w:color w:val="auto"/>
                <w:sz w:val="20"/>
                <w:szCs w:val="20"/>
                <w:lang w:eastAsia="zh-CN" w:bidi="ar"/>
              </w:rPr>
            </w:pPr>
            <w:r>
              <w:rPr>
                <w:rFonts w:ascii="宋体" w:hAnsi="宋体" w:eastAsia="宋体" w:cs="宋体"/>
                <w:color w:val="auto"/>
                <w:sz w:val="20"/>
                <w:szCs w:val="20"/>
                <w:lang w:eastAsia="zh-CN" w:bidi="ar"/>
              </w:rPr>
              <w:t>36</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EA9DA">
            <w:pPr>
              <w:jc w:val="center"/>
              <w:rPr>
                <w:rFonts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春</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049B0E">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选修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F3449">
            <w:pPr>
              <w:jc w:val="center"/>
              <w:rPr>
                <w:rFonts w:hint="eastAsia" w:ascii="宋体" w:hAnsi="宋体" w:eastAsia="宋体" w:cs="宋体"/>
                <w:color w:val="auto"/>
                <w:sz w:val="20"/>
                <w:szCs w:val="20"/>
                <w:lang w:eastAsia="zh-CN" w:bidi="ar"/>
              </w:rPr>
            </w:pPr>
            <w:r>
              <w:rPr>
                <w:rFonts w:hint="eastAsia" w:ascii="宋体" w:hAnsi="宋体" w:eastAsia="宋体" w:cs="宋体"/>
                <w:color w:val="auto"/>
                <w:sz w:val="20"/>
                <w:szCs w:val="20"/>
                <w:lang w:eastAsia="zh-CN" w:bidi="ar"/>
              </w:rPr>
              <w:t>校企联合课</w:t>
            </w:r>
          </w:p>
        </w:tc>
      </w:tr>
      <w:tr w14:paraId="60A0329B">
        <w:tblPrEx>
          <w:tblCellMar>
            <w:top w:w="0" w:type="dxa"/>
            <w:left w:w="108" w:type="dxa"/>
            <w:bottom w:w="0" w:type="dxa"/>
            <w:right w:w="108" w:type="dxa"/>
          </w:tblCellMar>
        </w:tblPrEx>
        <w:trPr>
          <w:jc w:val="center"/>
        </w:trPr>
        <w:tc>
          <w:tcPr>
            <w:tcW w:w="144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26C5847">
            <w:pPr>
              <w:jc w:val="center"/>
              <w:textAlignment w:val="center"/>
              <w:rPr>
                <w:rFonts w:ascii="宋体" w:hAnsi="宋体" w:eastAsia="宋体" w:cs="宋体"/>
                <w:sz w:val="20"/>
                <w:szCs w:val="20"/>
              </w:rPr>
            </w:pPr>
            <w:r>
              <w:rPr>
                <w:rFonts w:hint="eastAsia" w:ascii="宋体" w:hAnsi="宋体" w:eastAsia="宋体" w:cs="宋体"/>
                <w:sz w:val="20"/>
                <w:szCs w:val="20"/>
                <w:lang w:eastAsia="zh-CN" w:bidi="ar"/>
              </w:rPr>
              <w:t>必修环节7学分</w:t>
            </w:r>
          </w:p>
        </w:tc>
        <w:tc>
          <w:tcPr>
            <w:tcW w:w="126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27C43A83">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auto"/>
                <w:sz w:val="20"/>
                <w:szCs w:val="20"/>
                <w:lang w:eastAsia="zh-CN" w:bidi="ar"/>
              </w:rPr>
            </w:pPr>
            <w:r>
              <w:rPr>
                <w:rFonts w:hint="eastAsia" w:ascii="宋体" w:hAnsi="宋体" w:eastAsia="宋体" w:cs="宋体"/>
                <w:i w:val="0"/>
                <w:iCs w:val="0"/>
                <w:color w:val="auto"/>
                <w:kern w:val="0"/>
                <w:sz w:val="20"/>
                <w:szCs w:val="20"/>
                <w:u w:val="none"/>
                <w:lang w:val="en-US" w:eastAsia="zh-CN" w:bidi="ar"/>
              </w:rPr>
              <w:t>Z20265001</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F9FAEC">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学术与技术交流</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130FB">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1</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98D2A">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0C4DD">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299F6">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4B7A1">
            <w:pPr>
              <w:jc w:val="center"/>
              <w:rPr>
                <w:rFonts w:ascii="宋体" w:hAnsi="宋体" w:eastAsia="宋体" w:cs="宋体"/>
                <w:color w:val="auto"/>
                <w:sz w:val="20"/>
                <w:szCs w:val="20"/>
              </w:rPr>
            </w:pPr>
          </w:p>
        </w:tc>
      </w:tr>
      <w:tr w14:paraId="5FCF9AF8">
        <w:tblPrEx>
          <w:tblCellMar>
            <w:top w:w="0" w:type="dxa"/>
            <w:left w:w="108" w:type="dxa"/>
            <w:bottom w:w="0" w:type="dxa"/>
            <w:right w:w="108" w:type="dxa"/>
          </w:tblCellMar>
        </w:tblPrEx>
        <w:trPr>
          <w:jc w:val="center"/>
        </w:trPr>
        <w:tc>
          <w:tcPr>
            <w:tcW w:w="144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A51F36F">
            <w:pPr>
              <w:jc w:val="center"/>
              <w:rPr>
                <w:rFonts w:ascii="宋体" w:hAnsi="宋体" w:eastAsia="宋体" w:cs="宋体"/>
                <w:sz w:val="20"/>
                <w:szCs w:val="20"/>
              </w:rPr>
            </w:pPr>
          </w:p>
        </w:tc>
        <w:tc>
          <w:tcPr>
            <w:tcW w:w="1260" w:type="dxa"/>
            <w:tcBorders>
              <w:top w:val="single" w:color="000000" w:sz="4" w:space="0"/>
              <w:left w:val="single" w:color="auto" w:sz="4" w:space="0"/>
              <w:bottom w:val="single" w:color="000000" w:sz="4" w:space="0"/>
              <w:right w:val="single" w:color="000000" w:sz="4" w:space="0"/>
            </w:tcBorders>
            <w:shd w:val="clear" w:color="auto" w:fill="auto"/>
            <w:noWrap/>
            <w:vAlign w:val="center"/>
          </w:tcPr>
          <w:p w14:paraId="78940646">
            <w:pPr>
              <w:keepNext w:val="0"/>
              <w:keepLines w:val="0"/>
              <w:widowControl/>
              <w:suppressLineNumbers w:val="0"/>
              <w:snapToGrid w:val="0"/>
              <w:ind w:left="0" w:leftChars="0" w:right="0" w:rightChars="0" w:firstLine="0" w:firstLineChars="0"/>
              <w:jc w:val="left"/>
              <w:textAlignment w:val="center"/>
              <w:rPr>
                <w:rFonts w:ascii="宋体" w:hAnsi="宋体" w:eastAsia="宋体" w:cs="宋体"/>
                <w:color w:val="auto"/>
                <w:sz w:val="20"/>
                <w:szCs w:val="20"/>
                <w:lang w:eastAsia="zh-CN" w:bidi="ar"/>
              </w:rPr>
            </w:pPr>
            <w:r>
              <w:rPr>
                <w:rFonts w:hint="eastAsia" w:ascii="宋体" w:hAnsi="宋体" w:eastAsia="宋体" w:cs="宋体"/>
                <w:i w:val="0"/>
                <w:iCs w:val="0"/>
                <w:color w:val="auto"/>
                <w:kern w:val="0"/>
                <w:sz w:val="20"/>
                <w:szCs w:val="20"/>
                <w:u w:val="none"/>
                <w:lang w:val="en-US" w:eastAsia="zh-CN" w:bidi="ar"/>
              </w:rPr>
              <w:t>Z20265002</w:t>
            </w:r>
          </w:p>
        </w:tc>
        <w:tc>
          <w:tcPr>
            <w:tcW w:w="27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1D1A39">
            <w:pP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专业实践</w:t>
            </w:r>
          </w:p>
        </w:tc>
        <w:tc>
          <w:tcPr>
            <w:tcW w:w="50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74ECAB">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6</w:t>
            </w:r>
          </w:p>
        </w:tc>
        <w:tc>
          <w:tcPr>
            <w:tcW w:w="6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670576">
            <w:pPr>
              <w:jc w:val="center"/>
              <w:textAlignment w:val="center"/>
              <w:rPr>
                <w:rFonts w:ascii="宋体" w:hAnsi="Times New Roman" w:eastAsia="宋体" w:cs="Times New Roman"/>
                <w:color w:val="auto"/>
                <w:sz w:val="20"/>
                <w:szCs w:val="20"/>
              </w:rPr>
            </w:pPr>
            <w:r>
              <w:rPr>
                <w:rFonts w:ascii="宋体" w:hAnsi="Times New Roman" w:eastAsia="宋体" w:cs="Times New Roman"/>
                <w:color w:val="auto"/>
                <w:sz w:val="20"/>
                <w:szCs w:val="20"/>
                <w:lang w:eastAsia="zh-CN" w:bidi="ar"/>
              </w:rPr>
              <w:t>/</w:t>
            </w:r>
          </w:p>
        </w:tc>
        <w:tc>
          <w:tcPr>
            <w:tcW w:w="7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876F8">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春秋</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F20D1">
            <w:pPr>
              <w:jc w:val="center"/>
              <w:textAlignment w:val="center"/>
              <w:rPr>
                <w:rFonts w:ascii="宋体" w:hAnsi="宋体" w:eastAsia="宋体" w:cs="宋体"/>
                <w:color w:val="auto"/>
                <w:sz w:val="20"/>
                <w:szCs w:val="20"/>
              </w:rPr>
            </w:pPr>
            <w:r>
              <w:rPr>
                <w:rFonts w:hint="eastAsia" w:ascii="宋体" w:hAnsi="宋体" w:eastAsia="宋体" w:cs="宋体"/>
                <w:color w:val="auto"/>
                <w:sz w:val="20"/>
                <w:szCs w:val="20"/>
                <w:lang w:eastAsia="zh-CN" w:bidi="ar"/>
              </w:rPr>
              <w:t>必修</w:t>
            </w:r>
          </w:p>
        </w:tc>
        <w:tc>
          <w:tcPr>
            <w:tcW w:w="1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D075B">
            <w:pPr>
              <w:jc w:val="center"/>
              <w:rPr>
                <w:rFonts w:ascii="宋体" w:hAnsi="宋体" w:eastAsia="宋体" w:cs="宋体"/>
                <w:color w:val="auto"/>
                <w:sz w:val="20"/>
                <w:szCs w:val="20"/>
              </w:rPr>
            </w:pPr>
          </w:p>
        </w:tc>
      </w:tr>
    </w:tbl>
    <w:p w14:paraId="45C028FB">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七、专业实践</w:t>
      </w:r>
    </w:p>
    <w:p w14:paraId="62F775E5">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专业实践应与学位论文或实践成果选题依托的工程项目紧密结合。导师组指导研究生制定《专业实践工作计划》，明确实践任务和考核要求。专业实践内容要具有一定的工程技术难度和工作量，体现所解决工程问题的成效。专业实践结束后，硕士研究生须撰写《专业实践总结报告》，由导师组进行考核，重点考核硕士研究生完成专业实践任务的情况和取得的专业实践成果等内容。</w:t>
      </w:r>
    </w:p>
    <w:p w14:paraId="4CD8A4CC">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八、学位论文与申请学位实践成果</w:t>
      </w:r>
    </w:p>
    <w:p w14:paraId="3E54E4B3">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学位论文和申请学位实践成果是硕士研究生申请硕士学位的两种成果形式，硕士研究生可选择其中一种申请学位。</w:t>
      </w:r>
    </w:p>
    <w:p w14:paraId="37BAADFE">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1．学位论文</w:t>
      </w:r>
    </w:p>
    <w:p w14:paraId="676FDDC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应聚焦本行业领域工程实际或具有明确的工程应用前景，形成具有一定先进性或创新性、实践指导性或可直接应用或可为形成解决方案提供支撑的理论或技术成果，以应用研究型专题论文呈现，体现学位申请人在本专业领域掌握坚实的理论基础和系统的专业知识，具有承担专业研究工作或工程实践的能力。</w:t>
      </w:r>
    </w:p>
    <w:p w14:paraId="10D5C704">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学位论文管理工作主要包括：开题报告、中期考核、学术和技术规范性检测、评审和答辩等环节。其中，学位论文开题报告、评审和答辩须有企业专家参与。</w:t>
      </w:r>
    </w:p>
    <w:p w14:paraId="24374936">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（1）学位论文开题报告</w:t>
      </w:r>
    </w:p>
    <w:p w14:paraId="4699636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选题应直接来源于工程实际，是工程新理论、新方法、新技术、新工艺、新产品等方面的专业研究。选题应具有实用性，主题鲜明具体、可操作性强，符合伦理规范，具有一定的社会经济效益或工程应用价值。硕士研究生结合专业实践内容，进行学位论文开题工作并提交开题报告。学位论文开题报告的主要内容包括：选题来源及意义、国内外研究现状和发展动态、主要研究思路、研究内容、拟采取的研究方法和技术路线、研究进度计划、已有研究基础和条件等。开题报告评审专家组由至少3位本专业领域具有硕士研究生指导资格或具有高级职称的专家组成，其中至少应有1位企业专家。</w:t>
      </w:r>
    </w:p>
    <w:p w14:paraId="554F1F63">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（2）学位论文中期考核</w:t>
      </w:r>
    </w:p>
    <w:p w14:paraId="594E1DE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须在完成学位论文开题，开展学位论文工作一段时间后，进行学位论文中期考核，并提交中期考核报告。学位论文中期考核报告的主要内容包括：学位论文工作进展情况，所取得的阶段性成果，对阶段性工作中存在的主要问题以及与开题报告内容不相符的部分进行说明，并对下一阶段的研究内容和工作计划进行阐述。中期考核通过后，方可继续开展后续工作。</w:t>
      </w:r>
    </w:p>
    <w:p w14:paraId="0865EFAF">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（3）学位论文学术和技术规范性检测</w:t>
      </w:r>
    </w:p>
    <w:p w14:paraId="61E47CCE">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论文撰写应恪守科研和学术规范，严禁弄虚作假、抄袭剽窃。为加强学术道德和学术规范建设，建立良好学术风尚，防范学术不端行为，保证学位论文质量，培养单位须对拟申请学位论文答辩的所有学位论文进行学术规范性检测。对于涉嫌存在弄虚作假行为的学位论文按照有关规定进行界定和处理。</w:t>
      </w:r>
    </w:p>
    <w:p w14:paraId="51E9E3DC">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2．申请学位实践成果</w:t>
      </w:r>
    </w:p>
    <w:p w14:paraId="5D2CE891">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申请学位实践成果应聚焦工程实际需求，通过学位申请人的实践活动产生具有应用性、先进性的成果，主要以实体或工程形象展示形式呈现。体现学位申请人在本专业领域掌握坚实的理论基础和系统的专业知识，具有运用科学方法、技术手段、人文和环保知识等解决工程实际问题的能力。以实践成果申请学位，应包括可展示实体形式和实践成果总结报告书面形式。</w:t>
      </w:r>
    </w:p>
    <w:p w14:paraId="0CC27A99">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申请学位实践成果工作主要包括：可行性论证报告、中期考核、实践成果展示与评价、评审和答辩等环节。其中，实践成果可行性论证报告、实践成果展示与评价、评审和答辩须有企业专家参与。</w:t>
      </w:r>
    </w:p>
    <w:p w14:paraId="041D6274">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（1）实践成果可行性论证报告</w:t>
      </w:r>
    </w:p>
    <w:p w14:paraId="4FE80F56">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的选题应源于本行业领域的工程实际需求，具有一定的实用性和新颖性，鼓励多学科专业交叉融合，突破前沿工程瓶颈问题。申请学位的实践成果可以是产品设计（作品创作）或者方案设计的形式，也可结合相关类别和领域情况选用其他体现相关专业领域特色的同等水平的实践成果。</w:t>
      </w:r>
    </w:p>
    <w:p w14:paraId="24936DBD">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结合专业实践内容，进行申请学位实践成果可行性论证工作，并提交实践成果可行性论证报告。实践成果可行性报告的主要内容包括：选题工程背景分析、国内外技术发展现状系统梳理、需求分析、拟采取技术路线、预期应用效益、研究进度计划、已有研究基础和条件等方面。实践成果可行性论证评审专家组由至少3位本专业领域具有硕士研究生指导资格或具有高级职称的专家组成 ，其中至少应有1位企业专家。</w:t>
      </w:r>
    </w:p>
    <w:p w14:paraId="4EF8FB49">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（2）实践成果中期考核</w:t>
      </w:r>
    </w:p>
    <w:p w14:paraId="359E6FC1">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硕士研究生须在完成实践成果可行性论证，并实施一段时间后，进行实践成果中期考核，并提交中期考核报告。实践成果中期考核报告的主要内容包括：实践成果实施以来的进展情况、已取得的阶段性成果、实施过程中需要调整的内容、下一步工作计划与预期成效等。实践成果中期考核通过后，方可继续开展后续工作。</w:t>
      </w:r>
    </w:p>
    <w:p w14:paraId="5314A1DC">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（3）实践成果展示及评价</w:t>
      </w:r>
    </w:p>
    <w:p w14:paraId="317B8DAA">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学位申请人须提交完整的实践成果验收报告和可验证成果（硬件/软件/标准类证明材料），以及相应的核心技术报告和成果先进性证明。</w:t>
      </w:r>
    </w:p>
    <w:p w14:paraId="4E46C43A">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评价由研究生所在二级单位组织实践成果评价专家组，对实践成果的先进性、功能和性能指标、创新性、应用成效及推广价值等进行评价，并出具成果评价意见。成果评价专家组由至少3位本专业领域具有硕士研究生指导资格或具有高级职称的专家组成，其中至少应有1位企业专家。</w:t>
      </w:r>
    </w:p>
    <w:p w14:paraId="1B71FBBF">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（4）实践成果总结报告学术和技术规范性检测</w:t>
      </w:r>
    </w:p>
    <w:p w14:paraId="23877BF3">
      <w:pPr>
        <w:pStyle w:val="2"/>
        <w:spacing w:line="360" w:lineRule="auto"/>
        <w:ind w:left="29" w:right="256" w:firstLine="596" w:firstLineChars="200"/>
        <w:jc w:val="both"/>
        <w:rPr>
          <w:rFonts w:ascii="仿宋" w:hAnsi="仿宋" w:eastAsia="仿宋" w:cs="仿宋"/>
          <w:spacing w:val="9"/>
          <w:sz w:val="28"/>
          <w:szCs w:val="28"/>
          <w:lang w:eastAsia="zh-CN"/>
        </w:rPr>
      </w:pPr>
      <w:r>
        <w:rPr>
          <w:rFonts w:hint="eastAsia" w:ascii="仿宋" w:hAnsi="仿宋" w:eastAsia="仿宋" w:cs="仿宋"/>
          <w:spacing w:val="9"/>
          <w:sz w:val="28"/>
          <w:szCs w:val="28"/>
          <w:lang w:eastAsia="zh-CN"/>
        </w:rPr>
        <w:t>实践成果总结报告撰写应恪守科研和学术规范，严禁弄虚作假、抄袭剽窃。为加强学术道德和学术规范建设，建立良好学术风尚，防范学术不端行为，保证实践成果总结报告质量，培养单位须对拟申请实践成果答辩的所有实践成果总结报告进行学术规范性检测。对于涉嫌存在弄虚作假行为的实践成果按照有关规定进行界定和处理。</w:t>
      </w:r>
    </w:p>
    <w:p w14:paraId="5234FBB4">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九、评审与答辩</w:t>
      </w:r>
    </w:p>
    <w:p w14:paraId="616141AA">
      <w:pPr>
        <w:pStyle w:val="2"/>
        <w:spacing w:line="360" w:lineRule="auto"/>
        <w:ind w:left="26" w:right="16" w:firstLine="604" w:firstLineChars="200"/>
        <w:jc w:val="both"/>
        <w:rPr>
          <w:rFonts w:ascii="仿宋" w:hAnsi="仿宋" w:eastAsia="仿宋" w:cs="仿宋"/>
          <w:spacing w:val="11"/>
          <w:sz w:val="28"/>
          <w:szCs w:val="28"/>
          <w:lang w:eastAsia="zh-CN"/>
        </w:rPr>
      </w:pPr>
      <w:r>
        <w:rPr>
          <w:rFonts w:hint="eastAsia" w:ascii="仿宋" w:hAnsi="仿宋" w:eastAsia="仿宋" w:cs="仿宋"/>
          <w:spacing w:val="11"/>
          <w:sz w:val="28"/>
          <w:szCs w:val="28"/>
          <w:lang w:eastAsia="zh-CN"/>
        </w:rPr>
        <w:t>1．评审</w:t>
      </w:r>
    </w:p>
    <w:p w14:paraId="6F8CEF0E">
      <w:pPr>
        <w:pStyle w:val="2"/>
        <w:spacing w:line="360" w:lineRule="auto"/>
        <w:ind w:left="26" w:right="16" w:firstLine="604" w:firstLineChars="200"/>
        <w:jc w:val="both"/>
        <w:rPr>
          <w:rFonts w:ascii="仿宋" w:hAnsi="仿宋" w:eastAsia="仿宋" w:cs="仿宋"/>
          <w:sz w:val="28"/>
          <w:szCs w:val="28"/>
          <w:lang w:eastAsia="zh-CN"/>
        </w:rPr>
      </w:pPr>
      <w:r>
        <w:rPr>
          <w:rFonts w:hint="eastAsia" w:ascii="仿宋" w:hAnsi="仿宋" w:eastAsia="仿宋" w:cs="仿宋"/>
          <w:spacing w:val="11"/>
          <w:sz w:val="28"/>
          <w:szCs w:val="28"/>
          <w:lang w:eastAsia="zh-CN"/>
        </w:rPr>
        <w:t>硕士专业学位论文或申请学位实践成果须至少由2位本</w:t>
      </w:r>
      <w:r>
        <w:rPr>
          <w:rFonts w:hint="eastAsia" w:ascii="仿宋" w:hAnsi="仿宋" w:eastAsia="仿宋" w:cs="仿宋"/>
          <w:spacing w:val="21"/>
          <w:sz w:val="28"/>
          <w:szCs w:val="28"/>
          <w:lang w:eastAsia="zh-CN"/>
        </w:rPr>
        <w:t>专业领域具有硕士研究生指导资格或具有高级职称的专家</w:t>
      </w:r>
      <w:r>
        <w:rPr>
          <w:rFonts w:hint="eastAsia" w:ascii="仿宋" w:hAnsi="仿宋" w:eastAsia="仿宋" w:cs="仿宋"/>
          <w:spacing w:val="3"/>
          <w:sz w:val="28"/>
          <w:szCs w:val="28"/>
          <w:lang w:eastAsia="zh-CN"/>
        </w:rPr>
        <w:t>评审，其中至少应有1位企业专家。</w:t>
      </w:r>
    </w:p>
    <w:p w14:paraId="5A9093B0">
      <w:pPr>
        <w:pStyle w:val="2"/>
        <w:spacing w:line="360" w:lineRule="auto"/>
        <w:ind w:left="26" w:right="13" w:firstLine="584" w:firstLineChars="200"/>
        <w:jc w:val="both"/>
        <w:rPr>
          <w:rFonts w:ascii="仿宋" w:hAnsi="仿宋" w:eastAsia="仿宋" w:cs="仿宋"/>
          <w:sz w:val="28"/>
          <w:szCs w:val="28"/>
          <w:lang w:eastAsia="zh-CN"/>
        </w:rPr>
      </w:pPr>
      <w:r>
        <w:rPr>
          <w:rFonts w:hint="eastAsia" w:ascii="仿宋" w:hAnsi="仿宋" w:eastAsia="仿宋" w:cs="仿宋"/>
          <w:spacing w:val="6"/>
          <w:sz w:val="28"/>
          <w:szCs w:val="28"/>
          <w:lang w:eastAsia="zh-CN"/>
        </w:rPr>
        <w:t>学位论文应从论文的选题背景及意义，研究内容及工作量，研究成果的价值及新颖性，专业基础及工程实践能力，</w:t>
      </w:r>
      <w:r>
        <w:rPr>
          <w:rFonts w:hint="eastAsia" w:ascii="仿宋" w:hAnsi="仿宋" w:eastAsia="仿宋" w:cs="仿宋"/>
          <w:spacing w:val="5"/>
          <w:sz w:val="28"/>
          <w:szCs w:val="28"/>
          <w:lang w:eastAsia="zh-CN"/>
        </w:rPr>
        <w:t>写作水平及规范性等方面进行综合评价。申请学位实践成果</w:t>
      </w:r>
      <w:r>
        <w:rPr>
          <w:rFonts w:hint="eastAsia" w:ascii="仿宋" w:hAnsi="仿宋" w:eastAsia="仿宋" w:cs="仿宋"/>
          <w:spacing w:val="6"/>
          <w:sz w:val="28"/>
          <w:szCs w:val="28"/>
          <w:lang w:eastAsia="zh-CN"/>
        </w:rPr>
        <w:t>应从实践的背景及意义，实践内容及工作量，实践成</w:t>
      </w:r>
      <w:r>
        <w:rPr>
          <w:rFonts w:hint="eastAsia" w:ascii="仿宋" w:hAnsi="仿宋" w:eastAsia="仿宋" w:cs="仿宋"/>
          <w:spacing w:val="5"/>
          <w:sz w:val="28"/>
          <w:szCs w:val="28"/>
          <w:lang w:eastAsia="zh-CN"/>
        </w:rPr>
        <w:t>果的实</w:t>
      </w:r>
      <w:r>
        <w:rPr>
          <w:rFonts w:hint="eastAsia" w:ascii="仿宋" w:hAnsi="仿宋" w:eastAsia="仿宋" w:cs="仿宋"/>
          <w:spacing w:val="6"/>
          <w:sz w:val="28"/>
          <w:szCs w:val="28"/>
          <w:lang w:eastAsia="zh-CN"/>
        </w:rPr>
        <w:t>用性和新颖性，专业基础及工程实践能力，写作水平及规范</w:t>
      </w:r>
      <w:r>
        <w:rPr>
          <w:rFonts w:hint="eastAsia" w:ascii="仿宋" w:hAnsi="仿宋" w:eastAsia="仿宋" w:cs="仿宋"/>
          <w:spacing w:val="7"/>
          <w:sz w:val="28"/>
          <w:szCs w:val="28"/>
          <w:lang w:eastAsia="zh-CN"/>
        </w:rPr>
        <w:t>性等方面进行综合评价。</w:t>
      </w:r>
    </w:p>
    <w:p w14:paraId="0709179F">
      <w:pPr>
        <w:pStyle w:val="2"/>
        <w:spacing w:line="360" w:lineRule="auto"/>
        <w:ind w:left="26" w:right="16" w:firstLine="604" w:firstLineChars="200"/>
        <w:jc w:val="both"/>
        <w:rPr>
          <w:rFonts w:ascii="仿宋" w:hAnsi="仿宋" w:eastAsia="仿宋" w:cs="仿宋"/>
          <w:spacing w:val="11"/>
          <w:sz w:val="28"/>
          <w:szCs w:val="28"/>
          <w:lang w:eastAsia="zh-CN"/>
        </w:rPr>
      </w:pPr>
      <w:r>
        <w:rPr>
          <w:rFonts w:hint="eastAsia" w:ascii="仿宋" w:hAnsi="仿宋" w:eastAsia="仿宋" w:cs="仿宋"/>
          <w:spacing w:val="11"/>
          <w:sz w:val="28"/>
          <w:szCs w:val="28"/>
          <w:lang w:eastAsia="zh-CN"/>
        </w:rPr>
        <w:t>2．答辩</w:t>
      </w:r>
    </w:p>
    <w:p w14:paraId="3F3AB051">
      <w:pPr>
        <w:pStyle w:val="2"/>
        <w:spacing w:line="360" w:lineRule="auto"/>
        <w:ind w:left="26" w:right="16" w:firstLine="600" w:firstLineChars="200"/>
        <w:jc w:val="both"/>
        <w:rPr>
          <w:rFonts w:ascii="仿宋" w:hAnsi="仿宋" w:eastAsia="仿宋" w:cs="仿宋"/>
          <w:sz w:val="28"/>
          <w:szCs w:val="28"/>
          <w:lang w:eastAsia="zh-CN"/>
        </w:rPr>
      </w:pPr>
      <w:r>
        <w:rPr>
          <w:rFonts w:hint="eastAsia" w:ascii="仿宋" w:hAnsi="仿宋" w:eastAsia="仿宋" w:cs="仿宋"/>
          <w:spacing w:val="10"/>
          <w:sz w:val="28"/>
          <w:szCs w:val="28"/>
          <w:lang w:eastAsia="zh-CN"/>
        </w:rPr>
        <w:t>学位论文或申请学位实践成果答辩委员会须至少由3位</w:t>
      </w:r>
      <w:r>
        <w:rPr>
          <w:rFonts w:hint="eastAsia" w:ascii="仿宋" w:hAnsi="仿宋" w:eastAsia="仿宋" w:cs="仿宋"/>
          <w:spacing w:val="21"/>
          <w:sz w:val="28"/>
          <w:szCs w:val="28"/>
          <w:lang w:eastAsia="zh-CN"/>
        </w:rPr>
        <w:t>本专业领域具有硕士研究生指导资格或具有高级职称的专</w:t>
      </w:r>
      <w:r>
        <w:rPr>
          <w:rFonts w:hint="eastAsia" w:ascii="仿宋" w:hAnsi="仿宋" w:eastAsia="仿宋" w:cs="仿宋"/>
          <w:spacing w:val="4"/>
          <w:sz w:val="28"/>
          <w:szCs w:val="28"/>
          <w:lang w:eastAsia="zh-CN"/>
        </w:rPr>
        <w:t>家组成，其中至少应有1位企业专家。</w:t>
      </w:r>
    </w:p>
    <w:p w14:paraId="6FA34A3F">
      <w:pPr>
        <w:widowControl w:val="0"/>
        <w:kinsoku/>
        <w:autoSpaceDE/>
        <w:autoSpaceDN/>
        <w:spacing w:before="240" w:beforeLines="100" w:after="240" w:afterLines="100"/>
        <w:jc w:val="both"/>
        <w:textAlignment w:val="auto"/>
        <w:rPr>
          <w:rFonts w:ascii="Times New Roman" w:hAnsi="Times New Roman" w:eastAsia="仿宋" w:cs="Times New Roman"/>
          <w:b/>
          <w:bCs/>
          <w:snapToGrid/>
          <w:kern w:val="2"/>
          <w:sz w:val="28"/>
          <w:szCs w:val="28"/>
          <w:lang w:eastAsia="zh-CN"/>
        </w:rPr>
      </w:pPr>
      <w:r>
        <w:rPr>
          <w:rFonts w:hint="eastAsia" w:ascii="Times New Roman" w:hAnsi="Times New Roman" w:eastAsia="仿宋" w:cs="Times New Roman"/>
          <w:b/>
          <w:bCs/>
          <w:snapToGrid/>
          <w:kern w:val="2"/>
          <w:sz w:val="28"/>
          <w:szCs w:val="28"/>
          <w:lang w:eastAsia="zh-CN"/>
        </w:rPr>
        <w:t>十、毕业与学位授予</w:t>
      </w:r>
    </w:p>
    <w:p w14:paraId="2BBA8B7E">
      <w:pPr>
        <w:pStyle w:val="2"/>
        <w:spacing w:line="360" w:lineRule="auto"/>
        <w:ind w:left="26" w:right="16" w:firstLine="600" w:firstLineChars="200"/>
        <w:jc w:val="both"/>
        <w:rPr>
          <w:rFonts w:ascii="仿宋" w:hAnsi="仿宋" w:eastAsia="仿宋" w:cs="仿宋"/>
          <w:spacing w:val="10"/>
          <w:sz w:val="28"/>
          <w:szCs w:val="28"/>
          <w:lang w:eastAsia="zh-CN"/>
        </w:rPr>
      </w:pPr>
      <w:r>
        <w:rPr>
          <w:rFonts w:hint="eastAsia" w:ascii="仿宋" w:hAnsi="仿宋" w:eastAsia="仿宋" w:cs="仿宋"/>
          <w:spacing w:val="10"/>
          <w:sz w:val="28"/>
          <w:szCs w:val="28"/>
          <w:lang w:eastAsia="zh-CN"/>
        </w:rPr>
        <w:t>硕士研究生在规定的最长修业年限内，按要求完成培养方案中规定的所有环节，成绩合格，符合毕业条件，由培养单位颁发毕业证书。</w:t>
      </w:r>
    </w:p>
    <w:p w14:paraId="65E88DD7">
      <w:pPr>
        <w:pStyle w:val="2"/>
        <w:spacing w:line="360" w:lineRule="auto"/>
        <w:ind w:left="26" w:right="16" w:firstLine="600" w:firstLineChars="200"/>
        <w:jc w:val="both"/>
        <w:rPr>
          <w:rFonts w:ascii="仿宋" w:hAnsi="仿宋" w:eastAsia="仿宋" w:cs="仿宋"/>
          <w:spacing w:val="10"/>
          <w:sz w:val="28"/>
          <w:szCs w:val="28"/>
          <w:lang w:eastAsia="zh-CN"/>
        </w:rPr>
      </w:pPr>
      <w:r>
        <w:rPr>
          <w:rFonts w:hint="eastAsia" w:ascii="仿宋" w:hAnsi="仿宋" w:eastAsia="仿宋" w:cs="仿宋"/>
          <w:spacing w:val="10"/>
          <w:sz w:val="28"/>
          <w:szCs w:val="28"/>
          <w:lang w:eastAsia="zh-CN"/>
        </w:rPr>
        <w:t>硕士研究生达到申请学位基本要求，通过学位论文或申请学位实践成果答辩，经学位授予单位学位评定委员会审核批准后，授予相应工程类别硕士专业学位。</w:t>
      </w:r>
    </w:p>
    <w:sectPr>
      <w:footerReference r:id="rId3" w:type="default"/>
      <w:pgSz w:w="11906" w:h="16839"/>
      <w:pgMar w:top="1431" w:right="1785" w:bottom="1478" w:left="1785" w:header="0" w:footer="1199"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方正仿宋简体">
    <w:altName w:val="微软雅黑"/>
    <w:panose1 w:val="00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63B1A">
    <w:pPr>
      <w:spacing w:line="268" w:lineRule="exact"/>
      <w:ind w:left="4129"/>
      <w:rPr>
        <w:rFonts w:ascii="等线" w:hAnsi="等线" w:eastAsia="等线" w:cs="等线"/>
        <w:sz w:val="18"/>
        <w:szCs w:val="18"/>
      </w:rPr>
    </w:pPr>
    <w:r>
      <w:rPr>
        <w:sz w:val="18"/>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C3F90E">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44C3F90E">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1B0CC1"/>
    <w:rsid w:val="001B0CC1"/>
    <w:rsid w:val="003367E0"/>
    <w:rsid w:val="0051178C"/>
    <w:rsid w:val="00544AFC"/>
    <w:rsid w:val="005D6AC6"/>
    <w:rsid w:val="00733FB0"/>
    <w:rsid w:val="007726B8"/>
    <w:rsid w:val="009B56D5"/>
    <w:rsid w:val="009D66A2"/>
    <w:rsid w:val="02162754"/>
    <w:rsid w:val="112B785E"/>
    <w:rsid w:val="18CE5787"/>
    <w:rsid w:val="2CAA3C56"/>
    <w:rsid w:val="302723B3"/>
    <w:rsid w:val="3E091A57"/>
    <w:rsid w:val="47780CE9"/>
    <w:rsid w:val="53E2200F"/>
    <w:rsid w:val="563F76DC"/>
    <w:rsid w:val="748034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微软雅黑" w:hAnsi="微软雅黑" w:eastAsia="微软雅黑" w:cs="微软雅黑"/>
      <w:sz w:val="31"/>
      <w:szCs w:val="31"/>
    </w:rPr>
  </w:style>
  <w:style w:type="paragraph" w:styleId="3">
    <w:name w:val="footer"/>
    <w:basedOn w:val="1"/>
    <w:qFormat/>
    <w:uiPriority w:val="99"/>
    <w:pPr>
      <w:tabs>
        <w:tab w:val="center" w:pos="4153"/>
        <w:tab w:val="right" w:pos="8306"/>
      </w:tabs>
    </w:pPr>
    <w:rPr>
      <w:sz w:val="18"/>
      <w:szCs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jc w:val="both"/>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 w:type="character" w:customStyle="1" w:styleId="8">
    <w:name w:val="NormalCharacter"/>
    <w:autoRedefine/>
    <w:semiHidden/>
    <w:qFormat/>
    <w:uiPriority w:val="0"/>
    <w:rPr>
      <w:rFonts w:eastAsia="方正仿宋简体" w:asciiTheme="minorHAnsi" w:hAnsiTheme="minorHAnsi" w:cstheme="minorBidi"/>
      <w:kern w:val="2"/>
      <w:sz w:val="32"/>
      <w:szCs w:val="24"/>
      <w:lang w:val="en-US" w:eastAsia="zh-CN" w:bidi="ar-SA"/>
    </w:rPr>
  </w:style>
  <w:style w:type="character" w:customStyle="1" w:styleId="9">
    <w:name w:val="font11"/>
    <w:basedOn w:val="6"/>
    <w:qFormat/>
    <w:uiPriority w:val="0"/>
    <w:rPr>
      <w:rFonts w:hint="eastAsia" w:ascii="宋体" w:hAnsi="宋体" w:eastAsia="宋体" w:cs="宋体"/>
      <w:b/>
      <w:bCs/>
      <w:color w:val="000000"/>
      <w:sz w:val="22"/>
      <w:szCs w:val="22"/>
      <w:u w:val="none"/>
    </w:rPr>
  </w:style>
  <w:style w:type="character" w:customStyle="1" w:styleId="10">
    <w:name w:val="font51"/>
    <w:basedOn w:val="6"/>
    <w:qFormat/>
    <w:uiPriority w:val="0"/>
    <w:rPr>
      <w:rFonts w:hint="eastAsia" w:ascii="宋体" w:hAnsi="宋体" w:eastAsia="宋体" w:cs="宋体"/>
      <w:color w:val="000000"/>
      <w:sz w:val="20"/>
      <w:szCs w:val="20"/>
      <w:u w:val="none"/>
    </w:rPr>
  </w:style>
  <w:style w:type="character" w:customStyle="1" w:styleId="11">
    <w:name w:val="font91"/>
    <w:basedOn w:val="6"/>
    <w:qFormat/>
    <w:uiPriority w:val="0"/>
    <w:rPr>
      <w:rFonts w:hint="default" w:ascii="Times New Roman" w:hAnsi="Times New Roman" w:cs="Times New Roman"/>
      <w:color w:val="000000"/>
      <w:sz w:val="20"/>
      <w:szCs w:val="20"/>
      <w:u w:val="none"/>
    </w:rPr>
  </w:style>
  <w:style w:type="character" w:customStyle="1" w:styleId="12">
    <w:name w:val="font101"/>
    <w:basedOn w:val="6"/>
    <w:qFormat/>
    <w:uiPriority w:val="0"/>
    <w:rPr>
      <w:rFonts w:hint="eastAsia" w:ascii="宋体" w:hAnsi="宋体" w:eastAsia="宋体" w:cs="宋体"/>
      <w:color w:val="000000"/>
      <w:sz w:val="20"/>
      <w:szCs w:val="20"/>
      <w:u w:val="none"/>
    </w:rPr>
  </w:style>
  <w:style w:type="character" w:customStyle="1" w:styleId="13">
    <w:name w:val="font61"/>
    <w:basedOn w:val="6"/>
    <w:qFormat/>
    <w:uiPriority w:val="0"/>
    <w:rPr>
      <w:rFonts w:hint="default" w:ascii="Times New Roman" w:hAnsi="Times New Roman" w:cs="Times New Roman"/>
      <w:color w:val="000000"/>
      <w:sz w:val="20"/>
      <w:szCs w:val="20"/>
      <w:u w:val="none"/>
    </w:rPr>
  </w:style>
  <w:style w:type="character" w:customStyle="1" w:styleId="14">
    <w:name w:val="font31"/>
    <w:basedOn w:val="6"/>
    <w:qFormat/>
    <w:uiPriority w:val="0"/>
    <w:rPr>
      <w:rFonts w:hint="eastAsia" w:ascii="宋体" w:hAnsi="宋体" w:eastAsia="宋体" w:cs="宋体"/>
      <w:color w:val="000000"/>
      <w:sz w:val="20"/>
      <w:szCs w:val="20"/>
      <w:u w:val="none"/>
    </w:rPr>
  </w:style>
  <w:style w:type="character" w:customStyle="1" w:styleId="15">
    <w:name w:val="font41"/>
    <w:basedOn w:val="6"/>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9</Pages>
  <Words>4799</Words>
  <Characters>5027</Characters>
  <Lines>38</Lines>
  <Paragraphs>10</Paragraphs>
  <TotalTime>0</TotalTime>
  <ScaleCrop>false</ScaleCrop>
  <LinksUpToDate>false</LinksUpToDate>
  <CharactersWithSpaces>5047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2026-05-14T08:31:00Z</dcterms:created>
  <dc:creator>1895</dc:creator>
  <cp:lastModifiedBy>牛牛</cp:lastModifiedBy>
  <dcterms:modified xsi:type="dcterms:W3CDTF">2026-10-13T04:17:52Z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2026-05-14T13:30:41Z</vt:filetime>
  </property>
  <property fmtid="{D5CDD505-2E9C-101B-9397-08002B2CF9AE}" pid="4" name="KSOTemplateDocerSaveRecord">
    <vt:lpwstr>eyJoZGlkIjoiNGM4MDJiYjkyYzE4ZDA4YmYyNmYyN2ZlODZjYTk3ZTAiLCJ1c2VySWQiOiI3MTI2MTc1MTAifQ==</vt:lpwstr>
  </property>
  <property fmtid="{D5CDD505-2E9C-101B-9397-08002B2CF9AE}" pid="5" name="KSOProductBuildVer">
    <vt:lpwstr>2052-12.1.0.28505</vt:lpwstr>
  </property>
  <property fmtid="{D5CDD505-2E9C-101B-9397-08002B2CF9AE}" pid="6" name="ICV">
    <vt:lpwstr>894A63BEF73144AE8EB3C3A3896FFF04_13</vt:lpwstr>
  </property>
</Properties>
</file>